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r/>
    </w:p>
    <w:p>
      <w:pPr>
        <w:pStyle w:val="971"/>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r/>
    </w:p>
    <w:p>
      <w:pPr>
        <w:pStyle w:val="971"/>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t xml:space="preserve">（暗标）</w:t>
      </w:r>
      <w:r>
        <w:rPr>
          <w:color w:val="000000" w:themeColor="text1"/>
          <w:highlight w:val="none"/>
        </w:rPr>
      </w:r>
      <w:r/>
    </w:p>
    <w:p>
      <w:pPr>
        <w:pStyle w:val="97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7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7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JSZC-320200-JZCG-G2026-0020</w:t>
      </w:r>
      <w:r>
        <w:rPr>
          <w:color w:val="000000" w:themeColor="text1"/>
          <w:highlight w:val="none"/>
        </w:rPr>
      </w: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无锡市公安局智能110项目</w:t>
      </w:r>
      <w:r>
        <w:rPr>
          <w:color w:val="000000" w:themeColor="text1"/>
          <w:highlight w:val="none"/>
        </w:rPr>
      </w: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无锡市公安局</w:t>
      </w:r>
      <w:r>
        <w:rPr>
          <w:color w:val="000000" w:themeColor="text1"/>
          <w:highlight w:val="none"/>
        </w:rPr>
      </w:r>
      <w:r/>
    </w:p>
    <w:p>
      <w:pPr>
        <w:pStyle w:val="883"/>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r/>
    </w:p>
    <w:p>
      <w:pPr>
        <w:pStyle w:val="97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1"/>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r/>
    </w:p>
    <w:p>
      <w:pPr>
        <w:pStyle w:val="971"/>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五</w:t>
      </w:r>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971"/>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513029200"/>
      <w:r>
        <w:rPr>
          <w:color w:val="000000" w:themeColor="text1"/>
          <w:highlight w:val="none"/>
        </w:rPr>
      </w:r>
      <w:bookmarkStart w:id="2" w:name="_Toc523127445"/>
      <w:r>
        <w:rPr>
          <w:color w:val="000000" w:themeColor="text1"/>
          <w:highlight w:val="none"/>
        </w:rPr>
      </w:r>
      <w:bookmarkStart w:id="3" w:name="_Toc20823272"/>
      <w:r>
        <w:rPr>
          <w:color w:val="000000" w:themeColor="text1"/>
          <w:highlight w:val="none"/>
        </w:rPr>
      </w:r>
      <w:bookmarkStart w:id="4" w:name="_Toc16938516"/>
      <w:r>
        <w:rPr>
          <w:color w:val="000000" w:themeColor="text1"/>
          <w:highlight w:val="none"/>
        </w:rPr>
      </w:r>
      <w:bookmarkStart w:id="5" w:name="_Toc479757206"/>
      <w:r>
        <w:rPr>
          <w:rFonts w:hint="eastAsia" w:ascii="黑体" w:hAnsi="黑体" w:eastAsia="黑体"/>
          <w:color w:val="000000" w:themeColor="text1"/>
          <w:sz w:val="36"/>
          <w:szCs w:val="36"/>
          <w:highlight w:val="none"/>
        </w:rPr>
        <w:t xml:space="preserve">总  目  录</w:t>
      </w:r>
      <w:r>
        <w:rPr>
          <w:color w:val="000000" w:themeColor="text1"/>
          <w:highlight w:val="none"/>
        </w:rPr>
      </w:r>
      <w:r/>
    </w:p>
    <w:p>
      <w:pPr>
        <w:pStyle w:val="883"/>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color w:val="000000" w:themeColor="text1"/>
          <w:highlight w:val="none"/>
        </w:rPr>
      </w: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color w:val="000000" w:themeColor="text1"/>
          <w:highlight w:val="none"/>
        </w:rPr>
      </w: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color w:val="000000" w:themeColor="text1"/>
          <w:highlight w:val="none"/>
        </w:rPr>
      </w: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color w:val="000000" w:themeColor="text1"/>
          <w:highlight w:val="none"/>
        </w:rPr>
      </w: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color w:val="000000" w:themeColor="text1"/>
          <w:highlight w:val="none"/>
        </w:rPr>
      </w: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color w:val="000000" w:themeColor="text1"/>
          <w:highlight w:val="none"/>
        </w:rPr>
      </w: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color w:val="000000" w:themeColor="text1"/>
          <w:highlight w:val="none"/>
        </w:rPr>
      </w:r>
      <w:r/>
    </w:p>
    <w:p>
      <w:pPr>
        <w:pStyle w:val="883"/>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无锡市公安局</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无锡市公安局智能110项目</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JSZC-320200-JZCG-G2026-0020</w:t>
      </w:r>
      <w:r>
        <w:rPr>
          <w:rFonts w:hint="eastAsia" w:ascii="宋体" w:hAnsi="宋体"/>
          <w:color w:val="000000" w:themeColor="text1"/>
          <w:sz w:val="24"/>
          <w:szCs w:val="24"/>
          <w:highlight w:val="none"/>
        </w:rPr>
        <w:t xml:space="preserve">）进行公开招标采购，欢迎符合条件的供应商投标。</w:t>
      </w:r>
      <w:r>
        <w:rPr>
          <w:color w:val="000000" w:themeColor="text1"/>
          <w:highlight w:val="none"/>
        </w:rPr>
      </w:r>
      <w:r/>
    </w:p>
    <w:p>
      <w:pPr>
        <w:pStyle w:val="883"/>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r/>
    </w:p>
    <w:p>
      <w:pPr>
        <w:pStyle w:val="883"/>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无锡市公安局智能110项目</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8985263"/>
      <w:r>
        <w:rPr>
          <w:color w:val="000000" w:themeColor="text1"/>
          <w:highlight w:val="none"/>
        </w:rPr>
      </w:r>
      <w:bookmarkStart w:id="7" w:name="_Toc35393790"/>
      <w:r>
        <w:rPr>
          <w:color w:val="000000" w:themeColor="text1"/>
          <w:highlight w:val="none"/>
        </w:rPr>
      </w:r>
      <w:bookmarkStart w:id="8" w:name="_Toc35393621"/>
      <w:r>
        <w:rPr>
          <w:color w:val="000000" w:themeColor="text1"/>
          <w:highlight w:val="none"/>
        </w:rPr>
      </w:r>
      <w:bookmarkStart w:id="9" w:name="_Toc28359002"/>
      <w:r>
        <w:rPr>
          <w:color w:val="000000" w:themeColor="text1"/>
          <w:highlight w:val="none"/>
        </w:rPr>
      </w:r>
      <w:bookmarkStart w:id="10" w:name="_Toc28359079"/>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883"/>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JSZC-320200-JZCG-G2026-0020</w:t>
      </w:r>
      <w:r>
        <w:rPr>
          <w:color w:val="000000" w:themeColor="text1"/>
          <w:highlight w:val="none"/>
        </w:rPr>
      </w:r>
      <w:r/>
    </w:p>
    <w:p>
      <w:pPr>
        <w:pStyle w:val="883"/>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无锡市公安局智能110项目</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559</w:t>
      </w:r>
      <w:r>
        <w:rPr>
          <w:rFonts w:hint="eastAsia" w:ascii="宋体" w:hAnsi="宋体"/>
          <w:color w:val="000000" w:themeColor="text1"/>
          <w:sz w:val="24"/>
          <w:szCs w:val="24"/>
          <w:highlight w:val="none"/>
        </w:rPr>
        <w:t xml:space="preserve">万元</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rPr>
        <w:t xml:space="preserve">559</w:t>
      </w:r>
      <w:r>
        <w:rPr>
          <w:rFonts w:hint="eastAsia" w:ascii="宋体" w:hAnsi="宋体"/>
          <w:color w:val="000000" w:themeColor="text1"/>
          <w:sz w:val="24"/>
          <w:szCs w:val="24"/>
          <w:highlight w:val="none"/>
        </w:rPr>
        <w:t xml:space="preserve">万元</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5.采购方式：公开招标（暗标）</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color w:val="000000" w:themeColor="text1"/>
          <w:highlight w:val="none"/>
        </w:rPr>
      </w: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28359080"/>
      <w:r>
        <w:rPr>
          <w:color w:val="000000" w:themeColor="text1"/>
          <w:highlight w:val="none"/>
        </w:rPr>
      </w:r>
      <w:bookmarkStart w:id="13" w:name="_Toc38985264"/>
      <w:r>
        <w:rPr>
          <w:color w:val="000000" w:themeColor="text1"/>
          <w:highlight w:val="none"/>
        </w:rPr>
      </w:r>
      <w:bookmarkStart w:id="14" w:name="_Toc35393791"/>
      <w:r>
        <w:rPr>
          <w:color w:val="000000" w:themeColor="text1"/>
          <w:highlight w:val="none"/>
        </w:rPr>
      </w:r>
      <w:bookmarkStart w:id="15" w:name="_Toc35393622"/>
      <w:r>
        <w:rPr>
          <w:color w:val="000000" w:themeColor="text1"/>
          <w:highlight w:val="none"/>
        </w:rPr>
      </w:r>
      <w:bookmarkStart w:id="16" w:name="_Toc28359003"/>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28359004"/>
      <w:r>
        <w:rPr>
          <w:color w:val="000000" w:themeColor="text1"/>
          <w:highlight w:val="none"/>
        </w:rPr>
      </w:r>
      <w:bookmarkStart w:id="19" w:name="_Toc28359081"/>
      <w:r>
        <w:rPr>
          <w:color w:val="000000" w:themeColor="text1"/>
          <w:highlight w:val="none"/>
        </w:rPr>
      </w:r>
      <w:bookmarkStart w:id="20" w:name="_Toc35393792"/>
      <w:r>
        <w:rPr>
          <w:color w:val="000000" w:themeColor="text1"/>
          <w:highlight w:val="none"/>
        </w:rPr>
      </w:r>
      <w:bookmarkStart w:id="21" w:name="_Toc38985265"/>
      <w:r>
        <w:rPr>
          <w:rFonts w:hint="eastAsia" w:ascii="宋体" w:hAnsi="宋体"/>
          <w:color w:val="000000" w:themeColor="text1"/>
          <w:sz w:val="24"/>
          <w:szCs w:val="24"/>
          <w:highlight w:val="none"/>
        </w:rPr>
        <w:t xml:space="preserve">1.满足《中华人民共和国政府采购法》第二十二条规定；</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无</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color w:val="000000" w:themeColor="text1"/>
          <w:highlight w:val="none"/>
        </w:rPr>
      </w: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pStyle w:val="883"/>
        <w:ind w:firstLine="540"/>
        <w:spacing w:line="500" w:lineRule="exact"/>
        <w:rPr>
          <w:rFonts w:hint="eastAsia" w:ascii="宋体" w:hAnsi="宋体" w:cs="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8985266"/>
      <w:r>
        <w:rPr>
          <w:color w:val="000000" w:themeColor="text1"/>
          <w:highlight w:val="none"/>
        </w:rPr>
      </w:r>
      <w:bookmarkStart w:id="25" w:name="_Toc35393793"/>
      <w:r>
        <w:rPr>
          <w:color w:val="000000" w:themeColor="text1"/>
          <w:highlight w:val="none"/>
        </w:rPr>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color w:val="000000" w:themeColor="text1"/>
          <w:highlight w:val="none"/>
        </w:rPr>
      </w:r>
      <w:r/>
    </w:p>
    <w:p>
      <w:pPr>
        <w:pStyle w:val="883"/>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w:t>
      </w:r>
      <w:r>
        <w:rPr>
          <w:color w:val="000000" w:themeColor="text1"/>
          <w:highlight w:val="none"/>
        </w:rPr>
      </w:r>
      <w:r/>
    </w:p>
    <w:p>
      <w:pPr>
        <w:pStyle w:val="883"/>
        <w:ind w:firstLine="540"/>
        <w:spacing w:line="500" w:lineRule="exact"/>
        <w:rPr>
          <w:rStyle w:val="960"/>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“江苏省政府采购（苏采云）平台”（http://jszfcg.jsczt.cn/）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color w:val="000000" w:themeColor="text1"/>
          <w:highlight w:val="none"/>
        </w:rPr>
      </w:r>
      <w:r/>
    </w:p>
    <w:p>
      <w:pPr>
        <w:pStyle w:val="883"/>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color w:val="000000" w:themeColor="text1"/>
          <w:highlight w:val="none"/>
        </w:rPr>
      </w: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6年6月2日09点30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color w:val="000000" w:themeColor="text1"/>
          <w:highlight w:val="none"/>
        </w:rPr>
      </w: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35393625"/>
      <w:r>
        <w:rPr>
          <w:color w:val="000000" w:themeColor="text1"/>
          <w:highlight w:val="none"/>
        </w:rPr>
      </w:r>
      <w:bookmarkStart w:id="28" w:name="_Toc28359007"/>
      <w:r>
        <w:rPr>
          <w:color w:val="000000" w:themeColor="text1"/>
          <w:highlight w:val="none"/>
        </w:rPr>
      </w:r>
      <w:bookmarkStart w:id="29" w:name="_Toc28359084"/>
      <w:r>
        <w:rPr>
          <w:color w:val="000000" w:themeColor="text1"/>
          <w:highlight w:val="none"/>
        </w:rPr>
      </w:r>
      <w:bookmarkStart w:id="30" w:name="_Toc38985267"/>
      <w:r>
        <w:rPr>
          <w:color w:val="000000" w:themeColor="text1"/>
          <w:highlight w:val="none"/>
        </w:rPr>
      </w:r>
      <w:bookmarkStart w:id="31" w:name="_Toc35393794"/>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883"/>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626"/>
      <w:r>
        <w:rPr>
          <w:color w:val="000000" w:themeColor="text1"/>
          <w:highlight w:val="none"/>
        </w:rPr>
      </w:r>
      <w:bookmarkStart w:id="34" w:name="_Toc35393795"/>
      <w:r>
        <w:rPr>
          <w:rFonts w:hint="eastAsia" w:ascii="宋体" w:hAnsi="宋体" w:cs="宋体"/>
          <w:color w:val="000000" w:themeColor="text1"/>
          <w:sz w:val="24"/>
          <w:szCs w:val="24"/>
          <w:highlight w:val="none"/>
        </w:rPr>
        <w:t xml:space="preserve">（招标公告及招标文件公告期限）自本公告发布之日起5个工作日。</w:t>
      </w:r>
      <w:r>
        <w:rPr>
          <w:color w:val="000000" w:themeColor="text1"/>
          <w:highlight w:val="none"/>
        </w:rPr>
      </w: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color w:val="000000" w:themeColor="text1"/>
          <w:highlight w:val="none"/>
        </w:rPr>
      </w: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8985269"/>
      <w:r>
        <w:rPr>
          <w:color w:val="000000" w:themeColor="text1"/>
          <w:highlight w:val="none"/>
        </w:rPr>
      </w:r>
      <w:bookmarkStart w:id="36" w:name="_Toc35393796"/>
      <w:r>
        <w:rPr>
          <w:color w:val="000000" w:themeColor="text1"/>
          <w:highlight w:val="none"/>
        </w:rPr>
      </w:r>
      <w:bookmarkStart w:id="37" w:name="_Toc28359085"/>
      <w:r>
        <w:rPr>
          <w:color w:val="000000" w:themeColor="text1"/>
          <w:highlight w:val="none"/>
        </w:rPr>
      </w:r>
      <w:bookmarkStart w:id="38" w:name="_Toc35393627"/>
      <w:r>
        <w:rPr>
          <w:color w:val="000000" w:themeColor="text1"/>
          <w:highlight w:val="none"/>
        </w:rPr>
      </w:r>
      <w:bookmarkStart w:id="39" w:name="_Toc28359008"/>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pStyle w:val="883"/>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无锡市公安局</w:t>
      </w:r>
      <w:r>
        <w:rPr>
          <w:color w:val="000000" w:themeColor="text1"/>
          <w:highlight w:val="none"/>
        </w:rPr>
      </w: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址：无锡市滨湖区高浪西路58号</w:t>
      </w:r>
      <w:r>
        <w:rPr>
          <w:color w:val="000000" w:themeColor="text1"/>
          <w:highlight w:val="none"/>
        </w:rPr>
      </w: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09"/>
      <w:r>
        <w:rPr>
          <w:color w:val="000000" w:themeColor="text1"/>
          <w:highlight w:val="none"/>
        </w:rPr>
      </w:r>
      <w:bookmarkStart w:id="41" w:name="_Toc28359086"/>
      <w:r>
        <w:rPr>
          <w:rFonts w:hint="eastAsia" w:ascii="宋体" w:hAnsi="宋体" w:cs="宋体"/>
          <w:color w:val="000000" w:themeColor="text1"/>
          <w:sz w:val="24"/>
          <w:szCs w:val="24"/>
          <w:highlight w:val="none"/>
        </w:rPr>
        <w:t xml:space="preserve">见“项目联系方式”</w:t>
      </w:r>
      <w:r>
        <w:rPr>
          <w:color w:val="000000" w:themeColor="text1"/>
          <w:highlight w:val="none"/>
        </w:rPr>
      </w: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color w:val="000000" w:themeColor="text1"/>
          <w:highlight w:val="none"/>
        </w:rPr>
      </w: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color w:val="000000" w:themeColor="text1"/>
          <w:highlight w:val="none"/>
        </w:rPr>
      </w: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color w:val="000000" w:themeColor="text1"/>
          <w:highlight w:val="none"/>
        </w:rPr>
      </w: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color w:val="000000" w:themeColor="text1"/>
          <w:highlight w:val="none"/>
        </w:rPr>
      </w: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w:t>
      </w:r>
      <w:r>
        <w:rPr>
          <w:rFonts w:hint="eastAsia" w:ascii="宋体" w:hAnsi="宋体" w:cs="宋体"/>
          <w:color w:val="000000" w:themeColor="text1"/>
          <w:sz w:val="24"/>
          <w:szCs w:val="24"/>
          <w:highlight w:val="none"/>
        </w:rPr>
        <w:t xml:space="preserve">联系人姓名</w:t>
      </w:r>
      <w:r>
        <w:rPr>
          <w:rFonts w:hint="eastAsia" w:ascii="宋体" w:hAnsi="宋体" w:cs="宋体"/>
          <w:color w:val="000000" w:themeColor="text1"/>
          <w:sz w:val="24"/>
          <w:szCs w:val="24"/>
          <w:highlight w:val="none"/>
          <w:lang w:val="en-US" w:eastAsia="zh-CN"/>
        </w:rPr>
        <w:t xml:space="preserve">:严旭</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电话：0510-82222280 </w:t>
      </w:r>
      <w:r>
        <w:rPr>
          <w:color w:val="000000" w:themeColor="text1"/>
          <w:highlight w:val="none"/>
        </w:rPr>
      </w: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w:t>
      </w:r>
      <w:r>
        <w:rPr>
          <w:rFonts w:hint="eastAsia" w:ascii="宋体" w:hAnsi="宋体" w:cs="宋体"/>
          <w:color w:val="000000" w:themeColor="text1"/>
          <w:sz w:val="24"/>
          <w:szCs w:val="24"/>
          <w:highlight w:val="none"/>
        </w:rPr>
        <w:t xml:space="preserve">受理人姓名</w:t>
      </w:r>
      <w:r>
        <w:rPr>
          <w:rFonts w:hint="eastAsia" w:ascii="宋体" w:hAnsi="宋体" w:cs="宋体"/>
          <w:color w:val="000000" w:themeColor="text1"/>
          <w:sz w:val="24"/>
          <w:szCs w:val="24"/>
          <w:highlight w:val="none"/>
          <w:lang w:val="en-US" w:eastAsia="zh-CN"/>
        </w:rPr>
        <w:t xml:space="preserve">:严旭</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电话：0510-82222280</w:t>
      </w:r>
      <w:r>
        <w:rPr>
          <w:color w:val="000000" w:themeColor="text1"/>
          <w:highlight w:val="none"/>
        </w:rPr>
      </w:r>
      <w:r/>
    </w:p>
    <w:p>
      <w:pPr>
        <w:pStyle w:val="883"/>
        <w:ind w:firstLine="480"/>
        <w:spacing w:line="500" w:lineRule="exact"/>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rPr>
        <w:t xml:space="preserve">中心经办人姓名</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cs="宋体"/>
          <w:color w:val="000000" w:themeColor="text1"/>
          <w:sz w:val="24"/>
          <w:szCs w:val="24"/>
          <w:highlight w:val="none"/>
          <w:lang w:val="en-US" w:eastAsia="zh-CN"/>
        </w:rPr>
        <w:t xml:space="preserve">81827747</w:t>
      </w:r>
      <w:r>
        <w:rPr>
          <w:color w:val="000000" w:themeColor="text1"/>
          <w:highlight w:val="none"/>
        </w:rPr>
      </w: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highlight w:val="none"/>
        </w:rPr>
      </w:r>
      <w:r/>
    </w:p>
    <w:p>
      <w:pPr>
        <w:pStyle w:val="883"/>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进入界面。</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color w:val="000000" w:themeColor="text1"/>
          <w:highlight w:val="none"/>
        </w:rPr>
      </w:r>
      <w:r/>
    </w:p>
    <w:p>
      <w:pPr>
        <w:pStyle w:val="883"/>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color w:val="000000" w:themeColor="text1"/>
          <w:highlight w:val="none"/>
        </w:rPr>
      </w: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color w:val="000000" w:themeColor="text1"/>
          <w:highlight w:val="none"/>
        </w:rPr>
      </w:r>
      <w:r/>
    </w:p>
    <w:p>
      <w:pPr>
        <w:pStyle w:val="883"/>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color w:val="000000" w:themeColor="text1"/>
          <w:highlight w:val="none"/>
        </w:rPr>
      </w:r>
      <w:r/>
    </w:p>
    <w:p>
      <w:pPr>
        <w:pStyle w:val="883"/>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color w:val="000000" w:themeColor="text1"/>
          <w:highlight w:val="none"/>
        </w:rPr>
      </w:r>
      <w:r/>
    </w:p>
    <w:p>
      <w:pPr>
        <w:pStyle w:val="883"/>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color w:val="000000" w:themeColor="text1"/>
          <w:highlight w:val="none"/>
        </w:rPr>
      </w:r>
      <w:r/>
    </w:p>
    <w:p>
      <w:pPr>
        <w:pStyle w:val="883"/>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shd w:val="clear" w:color="ffffff" w:fill="d9d9d9"/>
        </w:rPr>
      </w:r>
      <w:r>
        <w:rPr>
          <w:color w:val="000000" w:themeColor="text1"/>
          <w:highlight w:val="none"/>
        </w:rPr>
      </w: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16938518"/>
      <w:r>
        <w:rPr>
          <w:color w:val="000000" w:themeColor="text1"/>
          <w:highlight w:val="none"/>
        </w:rPr>
      </w:r>
      <w:bookmarkStart w:id="44" w:name="_Toc120614213"/>
      <w:r>
        <w:rPr>
          <w:color w:val="000000" w:themeColor="text1"/>
          <w:highlight w:val="none"/>
        </w:rPr>
      </w:r>
      <w:bookmarkStart w:id="45" w:name="_Toc513029202"/>
      <w:r>
        <w:rPr>
          <w:color w:val="000000" w:themeColor="text1"/>
          <w:highlight w:val="none"/>
        </w:rPr>
      </w:r>
      <w:bookmarkStart w:id="46" w:name="_Toc20823274"/>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20823275"/>
      <w:r>
        <w:rPr>
          <w:color w:val="000000" w:themeColor="text1"/>
          <w:highlight w:val="none"/>
        </w:rPr>
      </w:r>
      <w:bookmarkStart w:id="48" w:name="_Toc16938519"/>
      <w:r>
        <w:rPr>
          <w:color w:val="000000" w:themeColor="text1"/>
          <w:highlight w:val="none"/>
        </w:rPr>
      </w:r>
      <w:bookmarkStart w:id="49" w:name="_Toc513029203"/>
      <w:r>
        <w:rPr>
          <w:color w:val="000000" w:themeColor="text1"/>
          <w:highlight w:val="none"/>
        </w:rPr>
      </w:r>
      <w:bookmarkStart w:id="50" w:name="_Toc120614214"/>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513029204"/>
      <w:r>
        <w:rPr>
          <w:color w:val="000000" w:themeColor="text1"/>
          <w:highlight w:val="none"/>
        </w:rPr>
      </w:r>
      <w:bookmarkStart w:id="53" w:name="_Toc16938520"/>
      <w:r>
        <w:rPr>
          <w:color w:val="000000" w:themeColor="text1"/>
          <w:highlight w:val="none"/>
        </w:rPr>
      </w:r>
      <w:bookmarkStart w:id="54" w:name="_Toc20823276"/>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20823277"/>
      <w:r>
        <w:rPr>
          <w:color w:val="000000" w:themeColor="text1"/>
          <w:highlight w:val="none"/>
        </w:rPr>
      </w:r>
      <w:bookmarkStart w:id="56" w:name="_Toc16938521"/>
      <w:r>
        <w:rPr>
          <w:color w:val="000000" w:themeColor="text1"/>
          <w:highlight w:val="none"/>
        </w:rPr>
      </w:r>
      <w:bookmarkStart w:id="57" w:name="_Toc513029205"/>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513029206"/>
      <w:r>
        <w:rPr>
          <w:color w:val="000000" w:themeColor="text1"/>
          <w:highlight w:val="none"/>
        </w:rPr>
      </w:r>
      <w:bookmarkStart w:id="59" w:name="_Toc16938522"/>
      <w:r>
        <w:rPr>
          <w:color w:val="000000" w:themeColor="text1"/>
          <w:highlight w:val="none"/>
        </w:rPr>
      </w:r>
      <w:bookmarkStart w:id="60" w:name="_Toc20823278"/>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16938523"/>
      <w:r>
        <w:rPr>
          <w:color w:val="000000" w:themeColor="text1"/>
          <w:highlight w:val="none"/>
        </w:rPr>
      </w:r>
      <w:bookmarkStart w:id="62" w:name="_Toc20823279"/>
      <w:r>
        <w:rPr>
          <w:color w:val="000000" w:themeColor="text1"/>
          <w:highlight w:val="none"/>
        </w:rPr>
      </w:r>
      <w:bookmarkStart w:id="63" w:name="_Toc462564067"/>
      <w:r>
        <w:rPr>
          <w:color w:val="000000" w:themeColor="text1"/>
          <w:highlight w:val="none"/>
        </w:rPr>
      </w:r>
      <w:bookmarkStart w:id="64" w:name="_Toc513029207"/>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color w:val="000000" w:themeColor="text1"/>
          <w:highlight w:val="none"/>
        </w:rPr>
      </w: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120614215"/>
      <w:r>
        <w:rPr>
          <w:color w:val="000000" w:themeColor="text1"/>
          <w:highlight w:val="none"/>
        </w:rPr>
      </w:r>
      <w:bookmarkStart w:id="66" w:name="_Toc20823281"/>
      <w:r>
        <w:rPr>
          <w:color w:val="000000" w:themeColor="text1"/>
          <w:highlight w:val="none"/>
        </w:rPr>
      </w:r>
      <w:bookmarkStart w:id="67" w:name="_Toc513029209"/>
      <w:r>
        <w:rPr>
          <w:color w:val="000000" w:themeColor="text1"/>
          <w:highlight w:val="none"/>
        </w:rPr>
      </w:r>
      <w:bookmarkStart w:id="68" w:name="_Toc16938525"/>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513029210"/>
      <w:r>
        <w:rPr>
          <w:color w:val="000000" w:themeColor="text1"/>
          <w:highlight w:val="none"/>
        </w:rPr>
      </w:r>
      <w:bookmarkStart w:id="70" w:name="_Toc20823282"/>
      <w:r>
        <w:rPr>
          <w:color w:val="000000" w:themeColor="text1"/>
          <w:highlight w:val="none"/>
        </w:rPr>
      </w:r>
      <w:bookmarkStart w:id="71" w:name="_Toc16938526"/>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color w:val="000000" w:themeColor="text1"/>
          <w:highlight w:val="none"/>
        </w:rPr>
      </w:r>
      <w:r/>
    </w:p>
    <w:p>
      <w:pPr>
        <w:pStyle w:val="883"/>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462564070"/>
      <w:r>
        <w:rPr>
          <w:color w:val="000000" w:themeColor="text1"/>
          <w:highlight w:val="none"/>
        </w:rPr>
      </w:r>
      <w:bookmarkStart w:id="73" w:name="_Toc16938527"/>
      <w:r>
        <w:rPr>
          <w:color w:val="000000" w:themeColor="text1"/>
          <w:highlight w:val="none"/>
        </w:rPr>
      </w:r>
      <w:bookmarkStart w:id="74" w:name="_Toc513029211"/>
      <w:r>
        <w:rPr>
          <w:color w:val="000000" w:themeColor="text1"/>
          <w:highlight w:val="none"/>
        </w:rPr>
      </w:r>
      <w:bookmarkStart w:id="75" w:name="_Toc20823283"/>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16938528"/>
      <w:r>
        <w:rPr>
          <w:color w:val="000000" w:themeColor="text1"/>
          <w:highlight w:val="none"/>
        </w:rPr>
      </w:r>
      <w:bookmarkStart w:id="77" w:name="_Toc462564071"/>
      <w:r>
        <w:rPr>
          <w:color w:val="000000" w:themeColor="text1"/>
          <w:highlight w:val="none"/>
        </w:rPr>
      </w:r>
      <w:bookmarkStart w:id="78" w:name="_Toc20823284"/>
      <w:r>
        <w:rPr>
          <w:color w:val="000000" w:themeColor="text1"/>
          <w:highlight w:val="none"/>
        </w:rPr>
      </w:r>
      <w:bookmarkStart w:id="79" w:name="_Toc513029212"/>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color w:val="000000" w:themeColor="text1"/>
          <w:highlight w:val="none"/>
        </w:rPr>
      </w: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513029213"/>
      <w:r>
        <w:rPr>
          <w:color w:val="000000" w:themeColor="text1"/>
          <w:highlight w:val="none"/>
        </w:rPr>
      </w:r>
      <w:bookmarkStart w:id="81" w:name="_Toc120614216"/>
      <w:r>
        <w:rPr>
          <w:color w:val="000000" w:themeColor="text1"/>
          <w:highlight w:val="none"/>
        </w:rPr>
      </w:r>
      <w:bookmarkStart w:id="82" w:name="_Toc462564072"/>
      <w:r>
        <w:rPr>
          <w:color w:val="000000" w:themeColor="text1"/>
          <w:highlight w:val="none"/>
        </w:rPr>
      </w:r>
      <w:bookmarkStart w:id="83" w:name="_Toc20823285"/>
      <w:r>
        <w:rPr>
          <w:color w:val="000000" w:themeColor="text1"/>
          <w:highlight w:val="none"/>
        </w:rPr>
      </w:r>
      <w:bookmarkStart w:id="84" w:name="_Toc16938529"/>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513029214"/>
      <w:r>
        <w:rPr>
          <w:color w:val="000000" w:themeColor="text1"/>
          <w:highlight w:val="none"/>
        </w:rPr>
      </w:r>
      <w:bookmarkStart w:id="86" w:name="_Toc20823286"/>
      <w:r>
        <w:rPr>
          <w:color w:val="000000" w:themeColor="text1"/>
          <w:highlight w:val="none"/>
        </w:rPr>
      </w:r>
      <w:bookmarkStart w:id="87" w:name="_Toc16938530"/>
      <w:r>
        <w:rPr>
          <w:color w:val="000000" w:themeColor="text1"/>
          <w:highlight w:val="none"/>
        </w:rPr>
      </w:r>
      <w:bookmarkStart w:id="88" w:name="_Toc462564073"/>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20823287"/>
      <w:r>
        <w:rPr>
          <w:color w:val="000000" w:themeColor="text1"/>
          <w:highlight w:val="none"/>
        </w:rPr>
      </w:r>
      <w:bookmarkStart w:id="90" w:name="_Toc513029215"/>
      <w:r>
        <w:rPr>
          <w:color w:val="000000" w:themeColor="text1"/>
          <w:highlight w:val="none"/>
        </w:rPr>
      </w:r>
      <w:bookmarkStart w:id="91" w:name="_Toc16938531"/>
      <w:r>
        <w:rPr>
          <w:color w:val="000000" w:themeColor="text1"/>
          <w:highlight w:val="none"/>
        </w:rPr>
      </w:r>
      <w:bookmarkStart w:id="92" w:name="_Toc462564074"/>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color w:val="000000" w:themeColor="text1"/>
          <w:highlight w:val="none"/>
        </w:rPr>
      </w:r>
      <w:r/>
    </w:p>
    <w:p>
      <w:pPr>
        <w:pStyle w:val="883"/>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color w:val="000000" w:themeColor="text1"/>
          <w:highlight w:val="none"/>
        </w:rPr>
      </w:r>
      <w:r/>
    </w:p>
    <w:p>
      <w:pPr>
        <w:pStyle w:val="883"/>
        <w:ind w:firstLine="482"/>
        <w:spacing w:line="500" w:lineRule="exact"/>
        <w:rPr>
          <w:rFonts w:hint="eastAsia" w:ascii="宋体" w:hAnsi="宋体"/>
          <w:b/>
          <w:color w:val="000000" w:themeColor="text1"/>
          <w:sz w:val="24"/>
          <w:highlight w:val="none"/>
          <w:u w:val="single"/>
        </w:rPr>
      </w:pPr>
      <w:r>
        <w:rPr>
          <w:rFonts w:hint="eastAsia" w:ascii="宋体" w:hAnsi="宋体"/>
          <w:b/>
          <w:color w:val="000000" w:themeColor="text1"/>
          <w:sz w:val="24"/>
          <w:highlight w:val="none"/>
        </w:rPr>
        <w:t xml:space="preserve">上述《评标方法与评标标准》中技术部分不得有体现投标人身份的内容是指：</w:t>
      </w:r>
      <w:r>
        <w:rPr>
          <w:color w:val="000000" w:themeColor="text1"/>
          <w:highlight w:val="none"/>
        </w:rPr>
      </w:r>
      <w:r/>
    </w:p>
    <w:p>
      <w:pPr>
        <w:pStyle w:val="883"/>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10.4.1技术部分不得出现能够体现投标人身份、名称的相关描述、材料、文件等内容；</w:t>
      </w:r>
      <w:r>
        <w:rPr>
          <w:color w:val="000000" w:themeColor="text1"/>
          <w:highlight w:val="none"/>
        </w:rPr>
      </w:r>
      <w:r/>
    </w:p>
    <w:p>
      <w:pPr>
        <w:pStyle w:val="883"/>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10.4.2技术部分不得更改，不得在其中涂改、标注或做任何可以辨认投标人及所属人员身份的名称、印章、商标等标记；</w:t>
      </w:r>
      <w:r>
        <w:rPr>
          <w:color w:val="000000" w:themeColor="text1"/>
          <w:highlight w:val="none"/>
        </w:rPr>
      </w:r>
      <w:r/>
    </w:p>
    <w:p>
      <w:pPr>
        <w:pStyle w:val="883"/>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10.4.3技术部分应当版面整洁、字迹清楚、不许批注或进行底纹、阴影、水印等特殊设置，不得采用任何不符合常规、有别于其他投标人的特殊做法；</w:t>
      </w:r>
      <w:r>
        <w:rPr>
          <w:color w:val="000000" w:themeColor="text1"/>
          <w:highlight w:val="none"/>
        </w:rPr>
      </w:r>
      <w:r/>
    </w:p>
    <w:p>
      <w:pPr>
        <w:pStyle w:val="883"/>
        <w:ind w:firstLine="482"/>
        <w:spacing w:line="5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10.4.4不得有其他体现投标人身份的内容。</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954838"/>
      <w:r>
        <w:rPr>
          <w:color w:val="000000" w:themeColor="text1"/>
          <w:highlight w:val="none"/>
        </w:rPr>
      </w:r>
      <w:bookmarkEnd w:id="93"/>
      <w:r>
        <w:rPr>
          <w:color w:val="000000" w:themeColor="text1"/>
          <w:highlight w:val="none"/>
        </w:rPr>
      </w:r>
      <w:bookmarkStart w:id="94" w:name="_Hlt26670360"/>
      <w:r>
        <w:rPr>
          <w:color w:val="000000" w:themeColor="text1"/>
          <w:highlight w:val="none"/>
        </w:rPr>
      </w:r>
      <w:bookmarkEnd w:id="94"/>
      <w:r>
        <w:rPr>
          <w:color w:val="000000" w:themeColor="text1"/>
          <w:highlight w:val="none"/>
        </w:rPr>
      </w:r>
      <w:bookmarkStart w:id="95" w:name="_Hlt26668975"/>
      <w:r>
        <w:rPr>
          <w:color w:val="000000" w:themeColor="text1"/>
          <w:highlight w:val="none"/>
        </w:rPr>
      </w:r>
      <w:bookmarkEnd w:id="95"/>
      <w:r>
        <w:rPr>
          <w:color w:val="000000" w:themeColor="text1"/>
          <w:highlight w:val="none"/>
        </w:rPr>
      </w:r>
      <w:bookmarkStart w:id="96" w:name="_Toc14577357"/>
      <w:r>
        <w:rPr>
          <w:color w:val="000000" w:themeColor="text1"/>
          <w:highlight w:val="none"/>
        </w:rPr>
      </w:r>
      <w:bookmarkStart w:id="97" w:name="_Toc513029219"/>
      <w:r>
        <w:rPr>
          <w:color w:val="000000" w:themeColor="text1"/>
          <w:highlight w:val="none"/>
        </w:rPr>
      </w:r>
      <w:bookmarkStart w:id="98" w:name="_Toc49090509"/>
      <w:r>
        <w:rPr>
          <w:color w:val="000000" w:themeColor="text1"/>
          <w:highlight w:val="none"/>
        </w:rPr>
      </w:r>
      <w:bookmarkStart w:id="99" w:name="_Toc513029216"/>
      <w:r>
        <w:rPr>
          <w:color w:val="000000" w:themeColor="text1"/>
          <w:highlight w:val="none"/>
        </w:rPr>
      </w:r>
      <w:bookmarkStart w:id="100" w:name="_Toc14577354"/>
      <w:r>
        <w:rPr>
          <w:color w:val="000000" w:themeColor="text1"/>
          <w:highlight w:val="none"/>
        </w:rPr>
      </w:r>
      <w:bookmarkStart w:id="101" w:name="_Toc49090507"/>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14577359"/>
      <w:r>
        <w:rPr>
          <w:color w:val="000000" w:themeColor="text1"/>
          <w:highlight w:val="none"/>
        </w:rPr>
      </w:r>
      <w:bookmarkStart w:id="105" w:name="_Toc49090510"/>
      <w:r>
        <w:rPr>
          <w:rFonts w:hint="eastAsia" w:ascii="宋体" w:hAnsi="宋体" w:eastAsia="宋体"/>
          <w:bCs w:val="0"/>
          <w:color w:val="000000" w:themeColor="text1"/>
          <w:highlight w:val="none"/>
        </w:rPr>
        <w:t xml:space="preserve">12.投标函、承诺书和开标一览表</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670486"/>
      <w:r>
        <w:rPr>
          <w:color w:val="000000" w:themeColor="text1"/>
          <w:highlight w:val="none"/>
        </w:rPr>
      </w:r>
      <w:bookmarkEnd w:id="108"/>
      <w:r>
        <w:rPr>
          <w:color w:val="000000" w:themeColor="text1"/>
          <w:highlight w:val="none"/>
        </w:rPr>
      </w:r>
      <w:bookmarkStart w:id="109" w:name="_Hlt26670403"/>
      <w:r>
        <w:rPr>
          <w:color w:val="000000" w:themeColor="text1"/>
          <w:highlight w:val="none"/>
        </w:rPr>
      </w:r>
      <w:bookmarkEnd w:id="109"/>
      <w:r>
        <w:rPr>
          <w:color w:val="000000" w:themeColor="text1"/>
          <w:highlight w:val="none"/>
        </w:rPr>
      </w:r>
      <w:bookmarkStart w:id="110" w:name="_Hlt26954848"/>
      <w:r>
        <w:rPr>
          <w:color w:val="000000" w:themeColor="text1"/>
          <w:highlight w:val="none"/>
        </w:rPr>
      </w:r>
      <w:bookmarkEnd w:id="110"/>
      <w:r>
        <w:rPr>
          <w:color w:val="000000" w:themeColor="text1"/>
          <w:highlight w:val="none"/>
        </w:rPr>
      </w:r>
      <w:bookmarkStart w:id="111" w:name="_Hlt26954844"/>
      <w:r>
        <w:rPr>
          <w:color w:val="000000" w:themeColor="text1"/>
          <w:highlight w:val="none"/>
        </w:rPr>
      </w:r>
      <w:bookmarkEnd w:id="111"/>
      <w:r>
        <w:rPr>
          <w:color w:val="000000" w:themeColor="text1"/>
          <w:highlight w:val="none"/>
        </w:rPr>
      </w:r>
      <w:bookmarkStart w:id="112" w:name="_Hlt26670482"/>
      <w:r>
        <w:rPr>
          <w:color w:val="000000" w:themeColor="text1"/>
          <w:highlight w:val="none"/>
        </w:rPr>
      </w:r>
      <w:bookmarkEnd w:id="112"/>
      <w:r>
        <w:rPr>
          <w:color w:val="000000" w:themeColor="text1"/>
          <w:highlight w:val="none"/>
        </w:rPr>
      </w:r>
      <w:bookmarkStart w:id="113" w:name="_Hlt26668983"/>
      <w:r>
        <w:rPr>
          <w:color w:val="000000" w:themeColor="text1"/>
          <w:highlight w:val="none"/>
        </w:rPr>
      </w:r>
      <w:bookmarkEnd w:id="113"/>
      <w:r>
        <w:rPr>
          <w:color w:val="000000" w:themeColor="text1"/>
          <w:highlight w:val="none"/>
        </w:rPr>
      </w:r>
      <w:bookmarkStart w:id="114" w:name="_Hlt26954846"/>
      <w:r>
        <w:rPr>
          <w:color w:val="000000" w:themeColor="text1"/>
          <w:highlight w:val="none"/>
        </w:rPr>
      </w:r>
      <w:bookmarkEnd w:id="114"/>
      <w:r>
        <w:rPr>
          <w:color w:val="000000" w:themeColor="text1"/>
          <w:highlight w:val="none"/>
        </w:rPr>
      </w:r>
      <w:bookmarkStart w:id="115" w:name="_Hlt26670425"/>
      <w:r>
        <w:rPr>
          <w:color w:val="000000" w:themeColor="text1"/>
          <w:highlight w:val="none"/>
        </w:rPr>
      </w:r>
      <w:bookmarkEnd w:id="115"/>
      <w:r>
        <w:rPr>
          <w:color w:val="000000" w:themeColor="text1"/>
          <w:highlight w:val="none"/>
        </w:rPr>
      </w:r>
      <w:bookmarkStart w:id="116" w:name="_Hlt26954842"/>
      <w:r>
        <w:rPr>
          <w:color w:val="000000" w:themeColor="text1"/>
          <w:highlight w:val="none"/>
        </w:rPr>
      </w:r>
      <w:bookmarkEnd w:id="116"/>
      <w:r>
        <w:rPr>
          <w:color w:val="000000" w:themeColor="text1"/>
          <w:highlight w:val="none"/>
        </w:rPr>
      </w:r>
      <w:bookmarkStart w:id="117" w:name="_Hlt26954731"/>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color w:val="000000" w:themeColor="text1"/>
          <w:highlight w:val="none"/>
        </w:rPr>
      </w:r>
      <w:r/>
    </w:p>
    <w:p>
      <w:pPr>
        <w:pStyle w:val="883"/>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954850"/>
      <w:r>
        <w:rPr>
          <w:color w:val="000000" w:themeColor="text1"/>
          <w:highlight w:val="none"/>
        </w:rPr>
      </w:r>
      <w:bookmarkEnd w:id="118"/>
      <w:r>
        <w:rPr>
          <w:color w:val="000000" w:themeColor="text1"/>
          <w:highlight w:val="none"/>
        </w:rPr>
      </w:r>
      <w:bookmarkStart w:id="119" w:name="_Hlt26670489"/>
      <w:r>
        <w:rPr>
          <w:color w:val="000000" w:themeColor="text1"/>
          <w:highlight w:val="none"/>
        </w:rPr>
      </w:r>
      <w:bookmarkEnd w:id="119"/>
      <w:r>
        <w:rPr>
          <w:color w:val="000000" w:themeColor="text1"/>
          <w:highlight w:val="none"/>
        </w:rPr>
      </w:r>
      <w:bookmarkStart w:id="120" w:name="_Hlt26954734"/>
      <w:r>
        <w:rPr>
          <w:color w:val="000000" w:themeColor="text1"/>
          <w:highlight w:val="none"/>
        </w:rPr>
      </w:r>
      <w:bookmarkEnd w:id="120"/>
      <w:r>
        <w:rPr>
          <w:color w:val="000000" w:themeColor="text1"/>
          <w:highlight w:val="none"/>
        </w:rPr>
      </w:r>
      <w:bookmarkStart w:id="121" w:name="_Toc14577360"/>
      <w:r>
        <w:rPr>
          <w:color w:val="000000" w:themeColor="text1"/>
          <w:highlight w:val="none"/>
        </w:rPr>
      </w:r>
      <w:bookmarkStart w:id="122" w:name="_Toc49090511"/>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color w:val="000000" w:themeColor="text1"/>
          <w:highlight w:val="none"/>
        </w:rPr>
      </w: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852"/>
      <w:r>
        <w:rPr>
          <w:color w:val="000000" w:themeColor="text1"/>
          <w:highlight w:val="none"/>
        </w:rPr>
      </w:r>
      <w:bookmarkEnd w:id="123"/>
      <w:r>
        <w:rPr>
          <w:color w:val="000000" w:themeColor="text1"/>
          <w:highlight w:val="none"/>
        </w:rPr>
      </w:r>
      <w:bookmarkStart w:id="124" w:name="_Hlt26954739"/>
      <w:r>
        <w:rPr>
          <w:color w:val="000000" w:themeColor="text1"/>
          <w:highlight w:val="none"/>
        </w:rPr>
      </w:r>
      <w:bookmarkEnd w:id="124"/>
      <w:r>
        <w:rPr>
          <w:color w:val="000000" w:themeColor="text1"/>
          <w:highlight w:val="none"/>
        </w:rPr>
      </w:r>
      <w:bookmarkStart w:id="125" w:name="_Toc16938540"/>
      <w:r>
        <w:rPr>
          <w:color w:val="000000" w:themeColor="text1"/>
          <w:highlight w:val="none"/>
        </w:rPr>
      </w:r>
      <w:bookmarkStart w:id="126" w:name="_Toc513029224"/>
      <w:r>
        <w:rPr>
          <w:color w:val="000000" w:themeColor="text1"/>
          <w:highlight w:val="none"/>
        </w:rPr>
      </w:r>
      <w:bookmarkStart w:id="127" w:name="_Toc120614217"/>
      <w:r>
        <w:rPr>
          <w:color w:val="000000" w:themeColor="text1"/>
          <w:highlight w:val="none"/>
        </w:rPr>
      </w:r>
      <w:bookmarkStart w:id="128" w:name="_Toc20823296"/>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462564084"/>
      <w:r>
        <w:rPr>
          <w:color w:val="000000" w:themeColor="text1"/>
          <w:highlight w:val="none"/>
        </w:rPr>
      </w:r>
      <w:bookmarkStart w:id="130" w:name="_Toc16938541"/>
      <w:r>
        <w:rPr>
          <w:color w:val="000000" w:themeColor="text1"/>
          <w:highlight w:val="none"/>
        </w:rPr>
      </w:r>
      <w:bookmarkStart w:id="131" w:name="_Toc20823297"/>
      <w:r>
        <w:rPr>
          <w:color w:val="000000" w:themeColor="text1"/>
          <w:highlight w:val="none"/>
        </w:rPr>
      </w:r>
      <w:bookmarkStart w:id="132" w:name="_Toc513029225"/>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color w:val="000000" w:themeColor="text1"/>
          <w:highlight w:val="none"/>
        </w:rPr>
      </w:r>
      <w:r/>
    </w:p>
    <w:p>
      <w:pPr>
        <w:pStyle w:val="996"/>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513029226"/>
      <w:r>
        <w:rPr>
          <w:color w:val="000000" w:themeColor="text1"/>
          <w:highlight w:val="none"/>
        </w:rPr>
      </w:r>
      <w:bookmarkStart w:id="134" w:name="_Toc20823298"/>
      <w:r>
        <w:rPr>
          <w:color w:val="000000" w:themeColor="text1"/>
          <w:highlight w:val="none"/>
        </w:rPr>
      </w:r>
      <w:bookmarkStart w:id="135" w:name="_Toc16938542"/>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16938543"/>
      <w:r>
        <w:rPr>
          <w:color w:val="000000" w:themeColor="text1"/>
          <w:highlight w:val="none"/>
        </w:rPr>
      </w:r>
      <w:bookmarkStart w:id="137" w:name="_Toc20823299"/>
      <w:r>
        <w:rPr>
          <w:color w:val="000000" w:themeColor="text1"/>
          <w:highlight w:val="none"/>
        </w:rPr>
      </w:r>
      <w:bookmarkStart w:id="138" w:name="_Toc513029227"/>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513029228"/>
      <w:r>
        <w:rPr>
          <w:color w:val="000000" w:themeColor="text1"/>
          <w:highlight w:val="none"/>
        </w:rPr>
      </w:r>
      <w:bookmarkStart w:id="140" w:name="_Toc16938544"/>
      <w:r>
        <w:rPr>
          <w:color w:val="000000" w:themeColor="text1"/>
          <w:highlight w:val="none"/>
        </w:rPr>
      </w:r>
      <w:bookmarkStart w:id="141" w:name="_Toc20823300"/>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120614218"/>
      <w:r>
        <w:rPr>
          <w:color w:val="000000" w:themeColor="text1"/>
          <w:highlight w:val="none"/>
        </w:rPr>
      </w:r>
      <w:bookmarkStart w:id="143" w:name="_Toc20823301"/>
      <w:r>
        <w:rPr>
          <w:color w:val="000000" w:themeColor="text1"/>
          <w:highlight w:val="none"/>
        </w:rPr>
      </w:r>
      <w:bookmarkStart w:id="144" w:name="_Toc513029229"/>
      <w:r>
        <w:rPr>
          <w:color w:val="000000" w:themeColor="text1"/>
          <w:highlight w:val="none"/>
        </w:rPr>
      </w:r>
      <w:bookmarkStart w:id="145" w:name="_Toc16938545"/>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16938546"/>
      <w:r>
        <w:rPr>
          <w:color w:val="000000" w:themeColor="text1"/>
          <w:highlight w:val="none"/>
        </w:rPr>
      </w:r>
      <w:bookmarkStart w:id="147" w:name="_Toc513029230"/>
      <w:r>
        <w:rPr>
          <w:color w:val="000000" w:themeColor="text1"/>
          <w:highlight w:val="none"/>
        </w:rPr>
      </w:r>
      <w:bookmarkStart w:id="148" w:name="_Toc20823302"/>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p>
    <w:p>
      <w:pPr>
        <w:pStyle w:val="883"/>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color w:val="000000" w:themeColor="text1"/>
          <w:highlight w:val="none"/>
        </w:rPr>
      </w: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16938547"/>
      <w:r>
        <w:rPr>
          <w:color w:val="000000" w:themeColor="text1"/>
          <w:highlight w:val="none"/>
        </w:rPr>
      </w:r>
      <w:bookmarkStart w:id="150" w:name="_Toc20823303"/>
      <w:r>
        <w:rPr>
          <w:color w:val="000000" w:themeColor="text1"/>
          <w:highlight w:val="none"/>
        </w:rPr>
      </w:r>
      <w:bookmarkStart w:id="151" w:name="_Toc513029231"/>
      <w:r>
        <w:rPr>
          <w:rFonts w:hint="eastAsia" w:ascii="宋体" w:hAnsi="宋体" w:eastAsia="宋体"/>
          <w:bCs w:val="0"/>
          <w:color w:val="000000" w:themeColor="text1"/>
          <w:highlight w:val="none"/>
        </w:rPr>
        <w:t xml:space="preserve">22.评标委员会</w:t>
      </w:r>
      <w:r>
        <w:rPr>
          <w:color w:val="000000" w:themeColor="text1"/>
          <w:highlight w:val="none"/>
        </w:rPr>
      </w:r>
      <w:r/>
    </w:p>
    <w:p>
      <w:pPr>
        <w:pStyle w:val="883"/>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20823304"/>
      <w:r>
        <w:rPr>
          <w:color w:val="000000" w:themeColor="text1"/>
          <w:highlight w:val="none"/>
        </w:rPr>
      </w:r>
      <w:bookmarkStart w:id="153" w:name="_Toc16938548"/>
      <w:r>
        <w:rPr>
          <w:color w:val="000000" w:themeColor="text1"/>
          <w:highlight w:val="none"/>
        </w:rPr>
      </w:r>
      <w:bookmarkStart w:id="154" w:name="_Toc513029232"/>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20823305"/>
      <w:r>
        <w:rPr>
          <w:color w:val="000000" w:themeColor="text1"/>
          <w:highlight w:val="none"/>
        </w:rPr>
      </w:r>
      <w:bookmarkStart w:id="156" w:name="_Toc16938549"/>
      <w:r>
        <w:rPr>
          <w:color w:val="000000" w:themeColor="text1"/>
          <w:highlight w:val="none"/>
        </w:rPr>
      </w:r>
      <w:bookmarkStart w:id="157" w:name="_Toc513029233"/>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color w:val="000000" w:themeColor="text1"/>
          <w:highlight w:val="none"/>
        </w:rPr>
      </w:r>
      <w:r/>
    </w:p>
    <w:p>
      <w:pPr>
        <w:pStyle w:val="883"/>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color w:val="000000" w:themeColor="text1"/>
          <w:highlight w:val="none"/>
        </w:rPr>
      </w: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color w:val="000000" w:themeColor="text1"/>
          <w:highlight w:val="none"/>
        </w:rPr>
      </w: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color w:val="000000" w:themeColor="text1"/>
          <w:highlight w:val="none"/>
        </w:rPr>
      </w:r>
      <w:r/>
    </w:p>
    <w:p>
      <w:pPr>
        <w:pStyle w:val="883"/>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20823306"/>
      <w:r>
        <w:rPr>
          <w:color w:val="000000" w:themeColor="text1"/>
          <w:highlight w:val="none"/>
        </w:rPr>
      </w:r>
      <w:bookmarkStart w:id="159" w:name="_Toc16938550"/>
      <w:r>
        <w:rPr>
          <w:color w:val="000000" w:themeColor="text1"/>
          <w:highlight w:val="none"/>
        </w:rPr>
      </w:r>
      <w:bookmarkStart w:id="160" w:name="_Toc513029234"/>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color w:val="000000" w:themeColor="text1"/>
          <w:highlight w:val="none"/>
        </w:rPr>
      </w:r>
      <w:r/>
    </w:p>
    <w:p>
      <w:pPr>
        <w:pStyle w:val="883"/>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20823307"/>
      <w:r>
        <w:rPr>
          <w:color w:val="000000" w:themeColor="text1"/>
          <w:highlight w:val="none"/>
        </w:rPr>
      </w:r>
      <w:bookmarkStart w:id="162" w:name="_Toc513029235"/>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rPr>
          <w:color w:val="000000" w:themeColor="text1"/>
          <w:highlight w:val="none"/>
        </w:rPr>
      </w: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color w:val="000000" w:themeColor="text1"/>
          <w:highlight w:val="none"/>
        </w:rPr>
      </w: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color w:val="000000" w:themeColor="text1"/>
          <w:highlight w:val="none"/>
        </w:rPr>
      </w: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color w:val="000000" w:themeColor="text1"/>
          <w:highlight w:val="none"/>
        </w:rPr>
      </w:r>
      <w:r/>
    </w:p>
    <w:p>
      <w:pPr>
        <w:pStyle w:val="883"/>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color w:val="000000" w:themeColor="text1"/>
          <w:highlight w:val="none"/>
        </w:rPr>
      </w: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color w:val="000000" w:themeColor="text1"/>
          <w:highlight w:val="none"/>
        </w:rPr>
      </w: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color w:val="000000" w:themeColor="text1"/>
          <w:highlight w:val="none"/>
        </w:rPr>
      </w: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16938554"/>
      <w:r>
        <w:rPr>
          <w:color w:val="000000" w:themeColor="text1"/>
          <w:highlight w:val="none"/>
        </w:rPr>
      </w:r>
      <w:bookmarkStart w:id="167" w:name="_Toc20823310"/>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000000" w:themeColor="text1"/>
          <w:highlight w:val="none"/>
        </w:rPr>
      </w: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color w:val="000000" w:themeColor="text1"/>
          <w:highlight w:val="none"/>
        </w:rPr>
      </w: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color w:val="000000" w:themeColor="text1"/>
          <w:highlight w:val="none"/>
        </w:rPr>
      </w:r>
      <w:r/>
    </w:p>
    <w:p>
      <w:pPr>
        <w:pStyle w:val="883"/>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20823308"/>
      <w:r>
        <w:rPr>
          <w:color w:val="000000" w:themeColor="text1"/>
          <w:highlight w:val="none"/>
        </w:rPr>
      </w:r>
      <w:bookmarkStart w:id="171" w:name="_Toc513029236"/>
      <w:r>
        <w:rPr>
          <w:color w:val="000000" w:themeColor="text1"/>
          <w:highlight w:val="none"/>
        </w:rPr>
      </w:r>
      <w:bookmarkStart w:id="172" w:name="_Toc16938552"/>
      <w:r>
        <w:rPr>
          <w:rFonts w:hint="eastAsia"/>
          <w:color w:val="000000" w:themeColor="text1"/>
          <w:sz w:val="30"/>
          <w:szCs w:val="30"/>
          <w:highlight w:val="none"/>
        </w:rPr>
        <w:t xml:space="preserve">七、授予合同</w:t>
      </w:r>
      <w:bookmarkEnd w:id="169"/>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16938553"/>
      <w:r>
        <w:rPr>
          <w:color w:val="000000" w:themeColor="text1"/>
          <w:highlight w:val="none"/>
        </w:rPr>
      </w:r>
      <w:bookmarkStart w:id="174" w:name="_Toc513029237"/>
      <w:r>
        <w:rPr>
          <w:color w:val="000000" w:themeColor="text1"/>
          <w:highlight w:val="none"/>
        </w:rPr>
      </w:r>
      <w:bookmarkStart w:id="175" w:name="_Toc20823309"/>
      <w:r>
        <w:rPr>
          <w:rFonts w:hint="eastAsia" w:ascii="宋体" w:hAnsi="宋体" w:eastAsia="宋体"/>
          <w:bCs w:val="0"/>
          <w:color w:val="000000" w:themeColor="text1"/>
          <w:highlight w:val="none"/>
        </w:rPr>
        <w:t xml:space="preserve">30.签订合同</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color w:val="000000" w:themeColor="text1"/>
          <w:highlight w:val="none"/>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000000" w:themeColor="text1"/>
          <w:highlight w:val="none"/>
        </w:rPr>
      </w: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highlight w:val="none"/>
        </w:rPr>
      </w: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20823314"/>
      <w:r>
        <w:rPr>
          <w:color w:val="000000" w:themeColor="text1"/>
          <w:highlight w:val="none"/>
        </w:rPr>
      </w:r>
      <w:bookmarkStart w:id="177" w:name="_Toc479757207"/>
      <w:r>
        <w:rPr>
          <w:color w:val="000000" w:themeColor="text1"/>
          <w:highlight w:val="none"/>
        </w:rPr>
      </w:r>
      <w:bookmarkStart w:id="178" w:name="_Toc16938558"/>
      <w:r>
        <w:rPr>
          <w:color w:val="000000" w:themeColor="text1"/>
          <w:highlight w:val="none"/>
        </w:rPr>
      </w:r>
      <w:bookmarkStart w:id="179" w:name="_Toc513029242"/>
      <w:r>
        <w:rPr>
          <w:color w:val="000000" w:themeColor="text1"/>
          <w:highlight w:val="none"/>
        </w:rPr>
      </w:r>
      <w:bookmarkStart w:id="180" w:name="_Toc120614221"/>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color w:val="000000" w:themeColor="text1"/>
          <w:highlight w:val="none"/>
        </w:rPr>
      </w:r>
      <w:r/>
    </w:p>
    <w:p>
      <w:pPr>
        <w:pStyle w:val="883"/>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16938559"/>
      <w:r>
        <w:rPr>
          <w:color w:val="000000" w:themeColor="text1"/>
          <w:highlight w:val="none"/>
        </w:rPr>
      </w:r>
      <w:bookmarkStart w:id="182" w:name="_Toc20823315"/>
      <w:r>
        <w:rPr>
          <w:color w:val="000000" w:themeColor="text1"/>
          <w:highlight w:val="none"/>
        </w:rPr>
      </w:r>
      <w:bookmarkStart w:id="183" w:name="_Toc513029243"/>
      <w:r>
        <w:rPr>
          <w:rFonts w:hint="eastAsia" w:ascii="宋体" w:hAnsi="宋体"/>
          <w:bCs/>
          <w:color w:val="000000" w:themeColor="text1"/>
          <w:sz w:val="24"/>
          <w:highlight w:val="none"/>
        </w:rPr>
        <w:t xml:space="preserve">以下为中标后签订本项目合同的通用条款，中标人不得提出实质性的修改。</w:t>
      </w:r>
      <w:r>
        <w:rPr>
          <w:color w:val="000000" w:themeColor="text1"/>
          <w:highlight w:val="none"/>
        </w:rPr>
      </w:r>
      <w:r/>
    </w:p>
    <w:p>
      <w:pPr>
        <w:pStyle w:val="883"/>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color w:val="000000" w:themeColor="text1"/>
          <w:highlight w:val="none"/>
        </w:rPr>
      </w:r>
      <w:r/>
    </w:p>
    <w:p>
      <w:pPr>
        <w:pStyle w:val="922"/>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color w:val="000000" w:themeColor="text1"/>
          <w:highlight w:val="none"/>
        </w:rPr>
      </w:r>
      <w:r/>
    </w:p>
    <w:p>
      <w:pPr>
        <w:pStyle w:val="922"/>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color w:val="000000" w:themeColor="text1"/>
          <w:highlight w:val="none"/>
        </w:rPr>
      </w:r>
      <w:r/>
    </w:p>
    <w:p>
      <w:pPr>
        <w:pStyle w:val="922"/>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color w:val="000000" w:themeColor="text1"/>
          <w:highlight w:val="none"/>
        </w:rPr>
      </w:r>
      <w:r/>
    </w:p>
    <w:p>
      <w:pPr>
        <w:pStyle w:val="922"/>
        <w:ind w:firstLine="480"/>
        <w:spacing w:line="400" w:lineRule="exact"/>
        <w:rPr>
          <w:rFonts w:hAnsi="宋体"/>
          <w:b/>
          <w:color w:val="000000" w:themeColor="text1"/>
          <w:sz w:val="24"/>
          <w:szCs w:val="24"/>
          <w:highlight w:val="none"/>
        </w:rPr>
      </w:pP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rPr>
        <w:t xml:space="preserve">标的质量：</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6履行方式：</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2.1 本合同金额为（大写）： 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3.1乙方应按招标文件规定的时间向甲方提供服务</w:t>
      </w:r>
      <w:r>
        <w:rPr>
          <w:rFonts w:hint="eastAsia" w:hAnsi="宋体"/>
          <w:color w:val="000000" w:themeColor="text1"/>
          <w:sz w:val="24"/>
          <w:szCs w:val="24"/>
          <w:highlight w:val="none"/>
        </w:rPr>
        <w:t xml:space="preserve">（包含与服务相关的货物）</w:t>
      </w:r>
      <w:r>
        <w:rPr>
          <w:rFonts w:hAnsi="宋体"/>
          <w:color w:val="000000" w:themeColor="text1"/>
          <w:sz w:val="24"/>
          <w:szCs w:val="24"/>
          <w:highlight w:val="none"/>
        </w:rPr>
        <w:t xml:space="preserve">的有关技术资料。</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4.1乙</w:t>
      </w:r>
      <w:r>
        <w:rPr>
          <w:rFonts w:hint="eastAsia" w:hAnsi="宋体"/>
          <w:color w:val="000000" w:themeColor="text1"/>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highlight w:val="none"/>
        </w:rPr>
      </w:r>
      <w:r/>
    </w:p>
    <w:p>
      <w:pPr>
        <w:pStyle w:val="922"/>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color w:val="000000" w:themeColor="text1"/>
          <w:highlight w:val="none"/>
        </w:rPr>
      </w:r>
      <w:r/>
    </w:p>
    <w:p>
      <w:pPr>
        <w:pStyle w:val="922"/>
        <w:ind w:firstLine="482"/>
        <w:spacing w:line="400" w:lineRule="exact"/>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color w:val="000000" w:themeColor="text1"/>
          <w:highlight w:val="none"/>
        </w:rPr>
      </w:r>
      <w:r/>
    </w:p>
    <w:p>
      <w:pPr>
        <w:pStyle w:val="922"/>
        <w:ind w:firstLine="480"/>
        <w:spacing w:line="400" w:lineRule="exact"/>
        <w:rPr>
          <w:rFonts w:hAnsi="宋体"/>
          <w:color w:val="000000" w:themeColor="text1"/>
          <w:sz w:val="24"/>
          <w:szCs w:val="24"/>
          <w:highlight w:val="none"/>
          <w:u w:val="single"/>
        </w:rPr>
      </w:pPr>
      <w:r>
        <w:rPr>
          <w:rFonts w:hAnsi="宋体"/>
          <w:color w:val="000000" w:themeColor="text1"/>
          <w:sz w:val="24"/>
          <w:szCs w:val="24"/>
          <w:highlight w:val="none"/>
        </w:rPr>
        <w:t xml:space="preserve">5.1 乙方保证所交付的</w:t>
      </w:r>
      <w:r>
        <w:rPr>
          <w:rFonts w:hint="eastAsia" w:hAnsi="宋体"/>
          <w:color w:val="000000" w:themeColor="text1"/>
          <w:sz w:val="24"/>
          <w:szCs w:val="24"/>
          <w:highlight w:val="none"/>
        </w:rPr>
        <w:t xml:space="preserve">服务（包含与服务相关的货物）</w:t>
      </w:r>
      <w:r>
        <w:rPr>
          <w:rFonts w:hAnsi="宋体"/>
          <w:color w:val="000000" w:themeColor="text1"/>
          <w:sz w:val="24"/>
          <w:szCs w:val="24"/>
          <w:highlight w:val="none"/>
        </w:rPr>
        <w:t xml:space="preserve">的所有权完全属于乙方且无任何抵押、查封等产权瑕疵。</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六、履约保证金</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6.1 乙方交纳人民币__元作为本合同的履约保证金。</w:t>
      </w:r>
      <w:r>
        <w:rPr>
          <w:rFonts w:hint="eastAsia" w:hAnsi="宋体"/>
          <w:color w:val="000000" w:themeColor="text1"/>
          <w:sz w:val="24"/>
          <w:szCs w:val="24"/>
          <w:highlight w:val="none"/>
        </w:rPr>
        <w:t xml:space="preserve">（不得超过合同金额的10%）</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6.2合同履行结束后，甲方应及时退还交纳的履约保证金。</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6.2.1履约保证金退还方式：</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6.2.2履约保证金退还时间：</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6.2.3履约保证金退还条件：</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6.2.4履约保证金不予退还的情形：</w:t>
      </w:r>
      <w:r>
        <w:rPr>
          <w:color w:val="000000" w:themeColor="text1"/>
          <w:highlight w:val="none"/>
        </w:rPr>
      </w:r>
      <w:r/>
    </w:p>
    <w:p>
      <w:pPr>
        <w:pStyle w:val="883"/>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color w:val="000000" w:themeColor="text1"/>
          <w:highlight w:val="none"/>
        </w:rPr>
      </w: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color w:val="000000" w:themeColor="text1"/>
          <w:highlight w:val="none"/>
        </w:rPr>
      </w: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color w:val="000000" w:themeColor="text1"/>
          <w:highlight w:val="none"/>
        </w:rPr>
      </w:r>
      <w:r/>
    </w:p>
    <w:p>
      <w:pPr>
        <w:pStyle w:val="883"/>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color w:val="000000" w:themeColor="text1"/>
          <w:highlight w:val="none"/>
        </w:rPr>
      </w:r>
      <w:r/>
    </w:p>
    <w:p>
      <w:pPr>
        <w:pStyle w:val="922"/>
        <w:ind w:firstLine="480"/>
        <w:spacing w:line="400" w:lineRule="exact"/>
        <w:rPr>
          <w:rFonts w:hint="eastAsia" w:hAnsi="宋体"/>
          <w:bCs/>
          <w:color w:val="000000" w:themeColor="text1"/>
          <w:sz w:val="24"/>
          <w:szCs w:val="24"/>
          <w:highlight w:val="none"/>
        </w:rPr>
      </w:pPr>
      <w:r>
        <w:rPr>
          <w:rFonts w:hint="eastAsia" w:hAnsi="宋体"/>
          <w:bCs/>
          <w:color w:val="000000" w:themeColor="text1"/>
          <w:sz w:val="24"/>
          <w:szCs w:val="24"/>
          <w:highlight w:val="none"/>
        </w:rPr>
        <w:t xml:space="preserve">8</w:t>
      </w:r>
      <w:r>
        <w:rPr>
          <w:rFonts w:hAnsi="宋体"/>
          <w:bCs/>
          <w:color w:val="000000" w:themeColor="text1"/>
          <w:sz w:val="24"/>
          <w:szCs w:val="24"/>
          <w:highlight w:val="none"/>
        </w:rPr>
        <w:t xml:space="preserve">.1</w:t>
      </w:r>
      <w:r>
        <w:rPr>
          <w:rFonts w:hint="eastAsia" w:hAnsi="宋体"/>
          <w:bCs/>
          <w:color w:val="000000" w:themeColor="text1"/>
          <w:sz w:val="24"/>
          <w:szCs w:val="24"/>
          <w:highlight w:val="none"/>
        </w:rPr>
        <w:t xml:space="preserve">合同款项的支付方式及进度安排</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8.1.1</w:t>
      </w:r>
      <w:r>
        <w:rPr>
          <w:rFonts w:hint="eastAsia" w:hAnsi="宋体" w:cs="Courier New"/>
          <w:bCs/>
          <w:color w:val="000000" w:themeColor="text1"/>
          <w:sz w:val="24"/>
          <w:szCs w:val="24"/>
          <w:highlight w:val="none"/>
        </w:rPr>
        <w:t xml:space="preserve">预付款支付时间：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，预付款支付比例：</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8.1.2</w:t>
      </w:r>
      <w:r>
        <w:rPr>
          <w:rFonts w:hint="eastAsia" w:hAnsi="宋体" w:cs="Courier New"/>
          <w:bCs/>
          <w:color w:val="000000" w:themeColor="text1"/>
          <w:sz w:val="24"/>
          <w:szCs w:val="24"/>
          <w:highlight w:val="none"/>
        </w:rPr>
        <w:t xml:space="preserve">尾款支付时间：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color w:val="000000" w:themeColor="text1"/>
          <w:highlight w:val="none"/>
        </w:rPr>
      </w:r>
      <w:r/>
    </w:p>
    <w:p>
      <w:pPr>
        <w:pStyle w:val="883"/>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color w:val="000000" w:themeColor="text1"/>
          <w:highlight w:val="none"/>
        </w:rPr>
      </w:r>
      <w:r/>
    </w:p>
    <w:p>
      <w:pPr>
        <w:pStyle w:val="883"/>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color w:val="000000" w:themeColor="text1"/>
          <w:highlight w:val="none"/>
        </w:rPr>
      </w:r>
      <w:r/>
    </w:p>
    <w:p>
      <w:pPr>
        <w:pStyle w:val="883"/>
        <w:spacing w:line="400" w:lineRule="exact"/>
        <w:rPr>
          <w:rFonts w:hint="eastAsia" w:hAnsi="宋体"/>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color w:val="000000" w:themeColor="text1"/>
          <w:highlight w:val="none"/>
        </w:rPr>
      </w:r>
      <w:r/>
    </w:p>
    <w:p>
      <w:pPr>
        <w:pStyle w:val="883"/>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color w:val="000000" w:themeColor="text1"/>
          <w:highlight w:val="none"/>
        </w:rPr>
      </w:r>
      <w:r/>
    </w:p>
    <w:p>
      <w:pPr>
        <w:pStyle w:val="883"/>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10.3 对于实际使用人和甲方分离的项目，甲方邀请实际使用人参与验收。</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10.4 如有必要，甲方邀请参加本项目的其他供应商或第三方专业机构及专家参与验收，相关意见将作为验收书的参考资料。</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10.5 甲方成立验收小组，按照采购合同的约定对乙方的履约情况进行验收。验收时</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甲方按照采购合同的约定对每一项技术、服务、安全标准的履约情况进行确认。验收结束后</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验收小组出具验收书</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列明各项标准的验收情况及项目总体评价</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由验收双方共同签署。验收结果与采购合同约定的资金支付及履约保证金返还条件挂钩。履约验收的各项资料存档备查。</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10.6 验收合格的项目</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甲方将及时报告本级财政部门。</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.1 甲方无正当理由</w:t>
      </w:r>
      <w:r>
        <w:rPr>
          <w:rFonts w:hint="eastAsia" w:hAnsi="宋体"/>
          <w:color w:val="000000" w:themeColor="text1"/>
          <w:sz w:val="24"/>
          <w:szCs w:val="24"/>
          <w:highlight w:val="none"/>
        </w:rPr>
        <w:t xml:space="preserve">拒绝接受乙方提供服务</w:t>
      </w:r>
      <w:r>
        <w:rPr>
          <w:rFonts w:hAnsi="宋体"/>
          <w:color w:val="000000" w:themeColor="text1"/>
          <w:sz w:val="24"/>
          <w:szCs w:val="24"/>
          <w:highlight w:val="none"/>
        </w:rPr>
        <w:t xml:space="preserve">的，甲方向乙方偿付</w:t>
      </w:r>
      <w:r>
        <w:rPr>
          <w:rFonts w:hint="eastAsia" w:hAnsi="宋体"/>
          <w:color w:val="000000" w:themeColor="text1"/>
          <w:sz w:val="24"/>
          <w:szCs w:val="24"/>
          <w:highlight w:val="none"/>
        </w:rPr>
        <w:t xml:space="preserve">拒绝接受服务合同价款</w:t>
      </w:r>
      <w:r>
        <w:rPr>
          <w:rFonts w:hAnsi="宋体"/>
          <w:color w:val="000000" w:themeColor="text1"/>
          <w:sz w:val="24"/>
          <w:szCs w:val="24"/>
          <w:highlight w:val="none"/>
        </w:rPr>
        <w:t xml:space="preserve">总值</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.2 甲方无故逾期验收和办理</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支付手续的</w:t>
      </w:r>
      <w:r>
        <w:rPr>
          <w:rFonts w:hint="eastAsia" w:hAnsi="宋体"/>
          <w:color w:val="000000" w:themeColor="text1"/>
          <w:sz w:val="24"/>
          <w:szCs w:val="24"/>
          <w:highlight w:val="none"/>
          <w:lang w:eastAsia="zh-CN"/>
        </w:rPr>
        <w:t xml:space="preserve">，</w:t>
      </w:r>
      <w:r>
        <w:rPr>
          <w:rFonts w:hAnsi="宋体"/>
          <w:color w:val="000000" w:themeColor="text1"/>
          <w:sz w:val="24"/>
          <w:szCs w:val="24"/>
          <w:highlight w:val="none"/>
        </w:rPr>
        <w:t xml:space="preserve">甲方应按逾期付款总额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每日向乙方支付违约金。</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.3 乙方逾期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的，乙方应按逾期</w:t>
      </w:r>
      <w:r>
        <w:rPr>
          <w:rFonts w:hint="eastAsia" w:hAnsi="宋体"/>
          <w:color w:val="000000" w:themeColor="text1"/>
          <w:sz w:val="24"/>
          <w:szCs w:val="24"/>
          <w:highlight w:val="none"/>
        </w:rPr>
        <w:t xml:space="preserve">提供服务合同</w:t>
      </w:r>
      <w:r>
        <w:rPr>
          <w:rFonts w:hAnsi="宋体"/>
          <w:color w:val="000000" w:themeColor="text1"/>
          <w:sz w:val="24"/>
          <w:szCs w:val="24"/>
          <w:highlight w:val="none"/>
        </w:rPr>
        <w:t xml:space="preserve">总额每日千分之六向甲方支付违约金，由甲方从待付</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中扣除。逾期超过约定日期10个工作日不能</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的，甲方可解除本合同。乙方因逾期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或因其他违约行为导致甲方解除合同的，乙方应向甲方支付合同</w:t>
      </w:r>
      <w:r>
        <w:rPr>
          <w:rFonts w:hint="eastAsia" w:hAnsi="宋体"/>
          <w:color w:val="000000" w:themeColor="text1"/>
          <w:sz w:val="24"/>
          <w:szCs w:val="24"/>
          <w:highlight w:val="none"/>
        </w:rPr>
        <w:t xml:space="preserve">价款总额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的违约金，如造成甲方损失超过违约金的，超出部分由乙方继续承担赔偿责任。 </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.4 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二</w:t>
      </w:r>
      <w:r>
        <w:rPr>
          <w:rFonts w:hAnsi="宋体"/>
          <w:b/>
          <w:color w:val="000000" w:themeColor="text1"/>
          <w:sz w:val="24"/>
          <w:szCs w:val="24"/>
          <w:highlight w:val="none"/>
        </w:rPr>
        <w:t xml:space="preserve">、不可抗力事件处理</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期相同。</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.2 不可抗力事件发生后，应立即通知对方，并寄送有关权威机构出具的证明。</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.3 不可抗力事件延续120天以上，双方应通过友好协商，确定是否继续履行合同。</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三</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color w:val="000000" w:themeColor="text1"/>
          <w:highlight w:val="none"/>
        </w:rPr>
      </w:r>
      <w:r/>
    </w:p>
    <w:p>
      <w:pPr>
        <w:pStyle w:val="922"/>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13.1双方在签订、履行合同中所发生的一切争议，应通过友好协商解决。如协商不成，由甲方住所地人民法院管辖。</w:t>
      </w:r>
      <w:r>
        <w:rPr>
          <w:color w:val="000000" w:themeColor="text1"/>
          <w:highlight w:val="none"/>
        </w:rPr>
      </w:r>
      <w:r/>
    </w:p>
    <w:p>
      <w:pPr>
        <w:pStyle w:val="922"/>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四</w:t>
      </w:r>
      <w:r>
        <w:rPr>
          <w:rFonts w:hAnsi="宋体"/>
          <w:b/>
          <w:color w:val="000000" w:themeColor="text1"/>
          <w:sz w:val="24"/>
          <w:szCs w:val="24"/>
          <w:highlight w:val="none"/>
        </w:rPr>
        <w:t xml:space="preserve">、合同生效及其他</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《中华人民共和国民法典》《中华人民共和国政府采购法》等</w:t>
      </w:r>
      <w:r>
        <w:rPr>
          <w:rFonts w:hAnsi="宋体"/>
          <w:color w:val="000000" w:themeColor="text1"/>
          <w:sz w:val="24"/>
          <w:szCs w:val="24"/>
          <w:highlight w:val="none"/>
        </w:rPr>
        <w:t xml:space="preserve">有关条文执行。</w:t>
      </w:r>
      <w:r>
        <w:rPr>
          <w:color w:val="000000" w:themeColor="text1"/>
          <w:highlight w:val="none"/>
        </w:rPr>
      </w:r>
      <w:r/>
    </w:p>
    <w:p>
      <w:pPr>
        <w:pStyle w:val="922"/>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本合同正本一式</w:t>
      </w:r>
      <w:r>
        <w:rPr>
          <w:rFonts w:hint="eastAsia" w:hAnsi="宋体"/>
          <w:color w:val="000000" w:themeColor="text1"/>
          <w:sz w:val="24"/>
          <w:szCs w:val="24"/>
          <w:highlight w:val="none"/>
        </w:rPr>
        <w:t xml:space="preserve">两</w:t>
      </w:r>
      <w:r>
        <w:rPr>
          <w:rFonts w:hAnsi="宋体"/>
          <w:color w:val="000000" w:themeColor="text1"/>
          <w:sz w:val="24"/>
          <w:szCs w:val="24"/>
          <w:highlight w:val="none"/>
        </w:rPr>
        <w:t xml:space="preserve">份，具有同等法律效力，甲</w:t>
      </w:r>
      <w:r>
        <w:rPr>
          <w:rFonts w:hint="eastAsia" w:hAnsi="宋体"/>
          <w:color w:val="000000" w:themeColor="text1"/>
          <w:sz w:val="24"/>
          <w:szCs w:val="24"/>
          <w:highlight w:val="none"/>
        </w:rPr>
        <w:t xml:space="preserve">方、</w:t>
      </w:r>
      <w:r>
        <w:rPr>
          <w:rFonts w:hAnsi="宋体"/>
          <w:color w:val="000000" w:themeColor="text1"/>
          <w:sz w:val="24"/>
          <w:szCs w:val="24"/>
          <w:highlight w:val="none"/>
        </w:rPr>
        <w:t xml:space="preserve">乙方各执一份。</w:t>
      </w:r>
      <w:r>
        <w:rPr>
          <w:color w:val="000000" w:themeColor="text1"/>
          <w:highlight w:val="none"/>
        </w:rPr>
      </w:r>
      <w:r/>
    </w:p>
    <w:p>
      <w:pPr>
        <w:pStyle w:val="922"/>
        <w:ind w:left="480" w:hanging="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甲方：                        乙方： </w:t>
      </w:r>
      <w:r>
        <w:rPr>
          <w:color w:val="000000" w:themeColor="text1"/>
          <w:highlight w:val="none"/>
        </w:rPr>
      </w:r>
      <w:r/>
    </w:p>
    <w:p>
      <w:pPr>
        <w:pStyle w:val="922"/>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color w:val="000000" w:themeColor="text1"/>
          <w:highlight w:val="none"/>
        </w:rPr>
      </w:r>
      <w:r/>
    </w:p>
    <w:p>
      <w:pPr>
        <w:pStyle w:val="922"/>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color w:val="000000" w:themeColor="text1"/>
          <w:highlight w:val="none"/>
        </w:rPr>
      </w:r>
      <w:r/>
    </w:p>
    <w:p>
      <w:pPr>
        <w:pStyle w:val="922"/>
        <w:ind w:firstLine="240"/>
        <w:spacing w:line="400" w:lineRule="exac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color w:val="000000" w:themeColor="text1"/>
          <w:highlight w:val="none"/>
        </w:rPr>
      </w:r>
      <w:r/>
    </w:p>
    <w:p>
      <w:pPr>
        <w:pStyle w:val="883"/>
        <w:ind w:firstLine="480"/>
        <w:spacing w:line="400" w:lineRule="exact"/>
        <w:rPr>
          <w:color w:val="000000" w:themeColor="text1"/>
          <w:sz w:val="24"/>
          <w:szCs w:val="24"/>
          <w:highlight w:val="none"/>
        </w:rPr>
      </w:pPr>
      <w:r>
        <w:rPr>
          <w:rFonts w:hint="eastAsia"/>
          <w:color w:val="000000" w:themeColor="text1"/>
          <w:sz w:val="24"/>
          <w:szCs w:val="24"/>
          <w:highlight w:val="none"/>
        </w:rPr>
        <w:t xml:space="preserve">                                </w:t>
      </w:r>
      <w:r>
        <w:rPr>
          <w:color w:val="000000" w:themeColor="text1"/>
          <w:sz w:val="24"/>
          <w:szCs w:val="24"/>
          <w:highlight w:val="none"/>
        </w:rPr>
        <w:t xml:space="preserve">签订日期：      年  </w:t>
      </w:r>
      <w:r>
        <w:rPr>
          <w:rFonts w:hint="eastAsia"/>
          <w:color w:val="000000" w:themeColor="text1"/>
          <w:sz w:val="24"/>
          <w:szCs w:val="24"/>
          <w:highlight w:val="none"/>
        </w:rPr>
        <w:t xml:space="preserve">  </w:t>
      </w:r>
      <w:r>
        <w:rPr>
          <w:color w:val="000000" w:themeColor="text1"/>
          <w:sz w:val="24"/>
          <w:szCs w:val="24"/>
          <w:highlight w:val="none"/>
        </w:rPr>
        <w:t xml:space="preserve">月  </w:t>
      </w:r>
      <w:r>
        <w:rPr>
          <w:rFonts w:hint="eastAsia"/>
          <w:color w:val="000000" w:themeColor="text1"/>
          <w:sz w:val="24"/>
          <w:szCs w:val="24"/>
          <w:highlight w:val="none"/>
        </w:rPr>
        <w:t xml:space="preserve"> </w:t>
      </w:r>
      <w:r>
        <w:rPr>
          <w:color w:val="000000" w:themeColor="text1"/>
          <w:sz w:val="24"/>
          <w:szCs w:val="24"/>
          <w:highlight w:val="none"/>
        </w:rPr>
        <w:t xml:space="preserve">日</w:t>
      </w:r>
      <w:r>
        <w:rPr>
          <w:color w:val="000000" w:themeColor="text1"/>
          <w:highlight w:val="none"/>
        </w:rPr>
      </w: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20823346"/>
      <w:r>
        <w:rPr>
          <w:color w:val="000000" w:themeColor="text1"/>
          <w:highlight w:val="none"/>
        </w:rPr>
      </w:r>
      <w:bookmarkStart w:id="187" w:name="_Toc16938590"/>
      <w:r>
        <w:rPr>
          <w:color w:val="000000" w:themeColor="text1"/>
          <w:highlight w:val="none"/>
        </w:rPr>
      </w:r>
      <w:bookmarkStart w:id="188" w:name="_Toc120614244"/>
      <w:r>
        <w:rPr>
          <w:color w:val="000000" w:themeColor="text1"/>
          <w:highlight w:val="none"/>
        </w:rPr>
      </w:r>
      <w:bookmarkStart w:id="189" w:name="_Toc479757211"/>
      <w:r>
        <w:rPr>
          <w:color w:val="000000" w:themeColor="text1"/>
          <w:highlight w:val="none"/>
        </w:rPr>
      </w:r>
      <w:bookmarkStart w:id="190" w:name="_Toc462564139"/>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p>
    <w:p>
      <w:pPr>
        <w:pStyle w:val="883"/>
        <w:ind w:firstLine="48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49090575"/>
      <w:r>
        <w:rPr>
          <w:color w:val="000000" w:themeColor="text1"/>
          <w:highlight w:val="none"/>
        </w:rPr>
      </w:r>
      <w:bookmarkStart w:id="192" w:name="_Toc26554093"/>
      <w:r>
        <w:rPr>
          <w:rFonts w:hint="eastAsia" w:ascii="宋体" w:hAnsi="宋体"/>
          <w:color w:val="000000" w:themeColor="text1"/>
          <w:sz w:val="24"/>
          <w:szCs w:val="24"/>
          <w:highlight w:val="none"/>
        </w:rPr>
        <w:t xml:space="preserve">投标人所投内容必须满足以下要求，不得有负偏离。</w:t>
      </w:r>
      <w:r>
        <w:rPr>
          <w:color w:val="000000" w:themeColor="text1"/>
          <w:highlight w:val="none"/>
        </w:rPr>
      </w:r>
      <w:r/>
    </w:p>
    <w:p>
      <w:pPr>
        <w:pStyle w:val="883"/>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w:t>
      </w:r>
      <w:r>
        <w:rPr>
          <w:rFonts w:hint="eastAsia" w:ascii="宋体" w:hAnsi="宋体"/>
          <w:b/>
          <w:color w:val="000000" w:themeColor="text1"/>
          <w:sz w:val="24"/>
          <w:szCs w:val="24"/>
          <w:highlight w:val="none"/>
        </w:rPr>
        <w:t xml:space="preserve">服务类项目</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详见项目技术要求</w:t>
      </w:r>
      <w:r>
        <w:rPr>
          <w:color w:val="000000" w:themeColor="text1"/>
          <w:highlight w:val="none"/>
        </w:rPr>
      </w:r>
      <w:r/>
    </w:p>
    <w:p>
      <w:pPr>
        <w:pStyle w:val="883"/>
        <w:ind w:firstLine="480"/>
        <w:spacing w:line="360" w:lineRule="auto"/>
        <w:rPr>
          <w:rFonts w:hint="eastAsia" w:ascii="宋体" w:hAnsi="宋体"/>
          <w:i/>
          <w:color w:val="000000" w:themeColor="text1"/>
          <w:sz w:val="24"/>
          <w:szCs w:val="24"/>
          <w:highlight w:val="none"/>
        </w:rPr>
      </w:pPr>
      <w:r>
        <w:rPr>
          <w:rFonts w:hint="eastAsia" w:ascii="宋体" w:hAnsi="宋体"/>
          <w:color w:val="000000" w:themeColor="text1"/>
          <w:sz w:val="24"/>
          <w:szCs w:val="24"/>
          <w:highlight w:val="none"/>
        </w:rPr>
        <w:t xml:space="preserve">本项目中的</w:t>
      </w:r>
      <w:r>
        <w:rPr>
          <w:rFonts w:ascii="宋体" w:hAnsi="宋体"/>
          <w:color w:val="000000" w:themeColor="text1"/>
          <w:sz w:val="24"/>
          <w:szCs w:val="24"/>
          <w:highlight w:val="none"/>
        </w:rPr>
        <w:t xml:space="preserve">5G</w:t>
      </w:r>
      <w:r>
        <w:rPr>
          <w:rFonts w:hint="eastAsia" w:ascii="宋体" w:hAnsi="宋体"/>
          <w:color w:val="000000" w:themeColor="text1"/>
          <w:sz w:val="24"/>
          <w:szCs w:val="24"/>
          <w:highlight w:val="none"/>
        </w:rPr>
        <w:t xml:space="preserve">可视化报警子系统为核心产品。</w:t>
      </w:r>
      <w:r>
        <w:rPr>
          <w:color w:val="000000" w:themeColor="text1"/>
          <w:highlight w:val="none"/>
        </w:rPr>
      </w:r>
      <w:r/>
    </w:p>
    <w:p>
      <w:pPr>
        <w:pStyle w:val="883"/>
        <w:ind w:firstLine="480"/>
        <w:spacing w:line="360" w:lineRule="auto"/>
        <w:rPr>
          <w:rFonts w:ascii="宋体" w:hAnsi="宋体"/>
          <w:color w:val="000000" w:themeColor="text1"/>
          <w:sz w:val="24"/>
          <w:szCs w:val="24"/>
          <w:highlight w:val="none"/>
        </w:rPr>
      </w:pPr>
      <w:r>
        <w:rPr>
          <w:rFonts w:hint="eastAsia" w:ascii="宋体"/>
          <w:bCs/>
          <w:color w:val="000000" w:themeColor="text1"/>
          <w:sz w:val="24"/>
          <w:szCs w:val="24"/>
          <w:highlight w:val="none"/>
        </w:rPr>
        <w:t xml:space="preserve">本项目不接受进口产品参与投标。</w:t>
      </w:r>
      <w:r>
        <w:rPr>
          <w:color w:val="000000" w:themeColor="text1"/>
          <w:highlight w:val="none"/>
        </w:rPr>
      </w:r>
      <w:r/>
    </w:p>
    <w:p>
      <w:pPr>
        <w:pStyle w:val="883"/>
        <w:ind w:firstLine="602"/>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color w:val="000000" w:themeColor="text1"/>
          <w:highlight w:val="none"/>
        </w:rPr>
      </w:r>
      <w:r/>
    </w:p>
    <w:p>
      <w:pPr>
        <w:pStyle w:val="886"/>
        <w:numPr>
          <w:ilvl w:val="0"/>
          <w:numId w:val="0"/>
        </w:numPr>
        <w:ind w:left="468" w:hanging="468"/>
        <w:spacing w:before="0" w:after="0" w:line="360" w:lineRule="auto"/>
        <w:rPr>
          <w:rFonts w:hint="eastAsia" w:eastAsia="宋体" w:cs="Times New Roman"/>
          <w:b/>
          <w:bCs w:val="0"/>
          <w:color w:val="000000" w:themeColor="text1"/>
          <w:sz w:val="30"/>
          <w:szCs w:val="30"/>
          <w:highlight w:val="none"/>
        </w:rPr>
      </w:pPr>
      <w:r>
        <w:rPr>
          <w:rFonts w:hint="eastAsia" w:eastAsia="宋体" w:cs="Times New Roman"/>
          <w:b/>
          <w:bCs w:val="0"/>
          <w:color w:val="000000" w:themeColor="text1"/>
          <w:sz w:val="30"/>
          <w:szCs w:val="30"/>
          <w:highlight w:val="none"/>
          <w:lang w:val="en-US" w:eastAsia="zh-CN"/>
        </w:rPr>
        <w:t xml:space="preserve">1．建设目标</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w:t>
      </w:r>
      <w:r>
        <w:rPr>
          <w:rFonts w:hint="eastAsia" w:ascii="宋体" w:hAnsi="宋体"/>
          <w:bCs/>
          <w:color w:val="000000" w:themeColor="text1"/>
          <w:sz w:val="24"/>
          <w:szCs w:val="24"/>
          <w:highlight w:val="none"/>
        </w:rPr>
        <w:t xml:space="preserve">目依据无锡公安智慧警务实施战略，面向“十四五”规划，坚持高站位谋划推进、全手段同步支撑，打造一个具备全面功能、稳定可靠且用户友好的智能110，向社会公众提供110视频报警服务，拓展警民沟通渠道。提升情报指挥中心的技术水平，增强110服务台处理报警的效率，以及提高公安机关的快速响应能力。实现对全市警用无人机采集数据实时三维建模，在三维建模的基础上进行航线绘制，虚拟作战。拓展AI智能分析预警，增加算法数量，更好的赋能实战。对接城运平台，打造无锡市局专属的架构，进行数据融合。保障视频接处警系统和公安信息网的安全。</w:t>
      </w:r>
      <w:r>
        <w:rPr>
          <w:color w:val="000000" w:themeColor="text1"/>
          <w:highlight w:val="none"/>
        </w:rPr>
      </w:r>
      <w:r/>
    </w:p>
    <w:p>
      <w:pPr>
        <w:pStyle w:val="886"/>
        <w:numPr>
          <w:ilvl w:val="0"/>
          <w:numId w:val="0"/>
        </w:numPr>
        <w:ind w:left="468" w:hanging="468"/>
        <w:spacing w:before="0" w:after="0" w:line="360" w:lineRule="auto"/>
        <w:rPr>
          <w:rFonts w:hint="eastAsia" w:eastAsia="宋体" w:cs="Times New Roman"/>
          <w:b/>
          <w:bCs w:val="0"/>
          <w:color w:val="000000" w:themeColor="text1"/>
          <w:sz w:val="30"/>
          <w:szCs w:val="30"/>
          <w:highlight w:val="none"/>
        </w:rPr>
      </w:pPr>
      <w:r>
        <w:rPr>
          <w:rFonts w:hint="eastAsia" w:eastAsia="宋体" w:cs="Times New Roman"/>
          <w:b/>
          <w:bCs w:val="0"/>
          <w:color w:val="000000" w:themeColor="text1"/>
          <w:sz w:val="30"/>
          <w:szCs w:val="30"/>
          <w:highlight w:val="none"/>
          <w:lang w:val="en-US" w:eastAsia="zh-CN"/>
        </w:rPr>
        <w:t xml:space="preserve">2．建设内容</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平台使用范围为无锡市公安局全警应用，涉及市局、区（县）分局及基层所站队。区（县）分局主要包含江阴、宜兴、梁溪、滨湖、锡山、惠山、新吴、经开、交通治安分局、水上分局、机场分局等11个市、区（县）分局；以及全市派出所、交警大队以及全市所有的警务工作站、重要治安卡口。主要建设内容如下：</w:t>
      </w:r>
      <w:r>
        <w:rPr>
          <w:color w:val="000000" w:themeColor="text1"/>
          <w:highlight w:val="none"/>
        </w:rPr>
      </w:r>
      <w:r/>
    </w:p>
    <w:p>
      <w:pPr>
        <w:pStyle w:val="883"/>
        <w:ind w:firstLine="482"/>
        <w:spacing w:line="360" w:lineRule="auto"/>
        <w:rPr>
          <w:rFonts w:hint="eastAsia" w:ascii="宋体" w:hAnsi="宋体"/>
          <w:b/>
          <w:bCs w:val="0"/>
          <w:color w:val="000000" w:themeColor="text1"/>
          <w:sz w:val="24"/>
          <w:szCs w:val="24"/>
          <w:highlight w:val="none"/>
        </w:rPr>
      </w:pPr>
      <w:r>
        <w:rPr>
          <w:rFonts w:hint="eastAsia" w:ascii="宋体" w:hAnsi="宋体"/>
          <w:b/>
          <w:bCs w:val="0"/>
          <w:color w:val="000000" w:themeColor="text1"/>
          <w:sz w:val="24"/>
          <w:szCs w:val="24"/>
          <w:highlight w:val="none"/>
        </w:rPr>
        <w:t xml:space="preserve">2.1.5G可视化报警模块</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G视频通话报警平台由以下模块组成：视话通信模块、视频报警模块、录制与存储模块、网管服务模块。主要实现与运营商和语音排队调度机之间的信令、媒体对接，实现音视频媒体流拆分及合并；音视频数据接入公安内网后接警员完成接警流程，支持视频呼叫排队、语音报警转视频报警、报警人视频预览、三方通话等功能；对视频排队调度系统进行的所有呼叫、音视频调度进行录音录像并提供相应查询功能；完整的WEB网管系统，用户通过浏览器登录网管系统，可在图形界面下非常直观地维护和配置。</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视话通信管理：视频通信模块部署在5G视频报警前置网关和后置网关上，负责与运营商和语音排队调度机之间的信令、媒体对接，实现音视频媒体流拆分及合并。运营商、前后置网关、排队调度机相互配合，实现视频报警通信全流程。</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（2）视频报警管理：5G视频报警系统数据应用模块，音视频数据接入公安内网后接警员完成接警流程，支持视频呼叫排队、语音报警转视频报警、报警人视频预览、三方通话等功能。</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录制与存储服务管理：对视频排队调度系统进行的所有呼叫、音视频调度进行录音录像并提供相应查询功能的系统。可按录音录像时间、电话号码等查询方式进行录音录像查找，并可进行录音录像重放等操作。</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（4）网管服务管理：为了方便使用者对系统进行维护和配置，提供完整的WEB网管系统，用户通过浏览器登录网管系统，可在图形界面下非常直观地维护和配置。</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（5）接处警客户端软件改造：对110接处警平台进行适配性改造，接警界面UI改造，实现5G视频报警界面操作、图像显示等适配功能，如接警列表、视频查看、图像显示、报警信息界面展示。</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（6）视频报警应用：包含5G视频查询、接警区5G外呼区分、5G视频拨号、5G视频回访、视频与“超图”平台对接等。</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（7）苹果手机视频功能应用：包含呼叫程序部署、呼叫短信连接发送、视频呼叫发起、视频通话建立。</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（8）与省12345平台对接：包含110非警务分流、12345工单派发、12345全量数据汇聚及查询统计。</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（9）接处警功能升级：包含处警单位自动添加、星标警情区分、回访查询升级、录音格式改造、与120系统对接。</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（10）软交换排队调度机：排队调度机分别与电信运营商的两个不同局向对接。各独立接警区作为市局的远程坐席按照主叫号码归属地进行分流接警不再单独建设。</w:t>
      </w:r>
      <w:r>
        <w:rPr>
          <w:color w:val="000000" w:themeColor="text1"/>
          <w:highlight w:val="none"/>
        </w:rPr>
      </w:r>
      <w:r/>
    </w:p>
    <w:p>
      <w:pPr>
        <w:pStyle w:val="883"/>
        <w:ind w:firstLine="482"/>
        <w:spacing w:line="360" w:lineRule="auto"/>
        <w:rPr>
          <w:rFonts w:hint="eastAsia" w:ascii="宋体" w:hAnsi="宋体"/>
          <w:b/>
          <w:bCs w:val="0"/>
          <w:color w:val="000000" w:themeColor="text1"/>
          <w:sz w:val="24"/>
          <w:szCs w:val="24"/>
          <w:highlight w:val="none"/>
        </w:rPr>
      </w:pPr>
      <w:r>
        <w:rPr>
          <w:rFonts w:hint="eastAsia" w:ascii="宋体" w:hAnsi="宋体"/>
          <w:b/>
          <w:bCs w:val="0"/>
          <w:color w:val="000000" w:themeColor="text1"/>
          <w:sz w:val="24"/>
          <w:szCs w:val="24"/>
          <w:highlight w:val="none"/>
        </w:rPr>
        <w:t xml:space="preserve">2.2.警用无人机模块</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构建一个国内领先的警用无人机智能管控平台。建设内容涵盖精准管控、实时数字沙盘、智能警务实战三大支柱体系，并通过跨网跨平台数据融合，形成一体化作战与治理能力。</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平台通过对接大疆上云API实现数据的全量解析与物模型标准化，并能同步获取司空2平台的任务与航线数据。集成视频国标联网能力，实现无人机视频的级联调阅、平台状态实时监测及任务关联的视频与姿态数据存储回放。融合多源反制平台，建设无人机安防体系。提供移动网侧无人机与鹰巢的实时数据接入、一图全景展示与协同控制，并支持跨网文件与数据的安全同步，实现无人机运行的全域可视化立体管控。</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以多机协同与高斯泼溅建模为核心，支持蛇形、环绕、立面等多种航线模式的快速生成与参数化配置，实现云端实时三维重建与进度可视化。系统提供航线预览、断点续飞能力，并可融合多任务历史数据进行联合建模。重建后的模型支持智能测量、动态标注及成果组管理，为指挥决策提供高精度、可交互的空间信息底座。</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深度融合AI识别与公安大数据，实现结构化比对与实时告警，并针对交通违停、拥堵监测、大型活动人流统计等场景开发定制化分析模型。体系还集成视频预案管理、数字化绩效系统，全面提升警务实战的智能化与规范化水平。</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平台实现公安、政务、移动多网数据安全同步。集成政务侧第三方无人机系统，实现统一接入与分图层展示。同时，建立社会面无人机与企业信息资源管理体系，实现信息全生命周期管理及多维统计看板，形成覆盖“精准管控—实战赋能—社会共治”的低空安全综合治理新格局。</w:t>
      </w:r>
      <w:r>
        <w:rPr>
          <w:color w:val="000000" w:themeColor="text1"/>
          <w:highlight w:val="none"/>
        </w:rPr>
      </w:r>
      <w:r/>
    </w:p>
    <w:p>
      <w:pPr>
        <w:pStyle w:val="883"/>
        <w:ind w:firstLine="482"/>
        <w:spacing w:line="360" w:lineRule="auto"/>
        <w:rPr>
          <w:rFonts w:hint="eastAsia" w:ascii="宋体" w:hAnsi="宋体"/>
          <w:b/>
          <w:bCs w:val="0"/>
          <w:color w:val="000000" w:themeColor="text1"/>
          <w:sz w:val="24"/>
          <w:szCs w:val="24"/>
          <w:highlight w:val="none"/>
        </w:rPr>
      </w:pPr>
      <w:r>
        <w:rPr>
          <w:rFonts w:hint="eastAsia" w:ascii="宋体" w:hAnsi="宋体"/>
          <w:b/>
          <w:bCs w:val="0"/>
          <w:color w:val="000000" w:themeColor="text1"/>
          <w:sz w:val="24"/>
          <w:szCs w:val="24"/>
          <w:highlight w:val="none"/>
        </w:rPr>
        <w:t xml:space="preserve">2.3.盯督和重警模块</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建设警情盯督子系统，主要对警情进行全流程盯督。盯督内容包括情况反馈、现场指挥、赋能支撑、过程跟盯、盯警过程及其他问题。建设重复警情治理子系统，支撑重复警情长效治理工作。对多类型重警人员进行治理，相应建设功能分析模块。重复警情治理子系统具备自主推送、派发、签收、反馈、汇总数据功能，采用市局管理、分局派发、所站队治理的使用模式。同时依托大语言模型、知识图谱等前沿技术构建警情数据智能体。</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盯警督盯：根据用户部门显示本部门需要跟盯的警情。分局情指中心在星标警情盯警过程中或者所站队指挥人员在一般警情盯警过程中，发现警情有升级，需要提级，则通过呈请提级盯办。根据用户部门显示本部门需要督盯的警情。市局情指中心根据报警时间范围按照各个分局分别统计所有星标警情应盯警情总数。</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（2）线路预案：面向线路安保场景，通过线路预案绘制线路，编制线路上的视频预案，通过视频接力功能实现根据开道车位置自动切换视频监控，为线路安保活动提供有效的支撑工具。</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（3）警情处置：包含最近警情、星标警情、黄标警情、警情打标、警情提级、无需出警、警情地图、处警视频、警情详情、处置流程、指挥预案、上传视频、警情闭环、对接即时通讯。</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（4）勤务质态：包含勤务质态监管、值班批量报备、基础信息管理。</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（5）警力到场质态：包含黄标警情到场质态、黄标警情到场明细、星标警情到场质态、星标警情到场明细。</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（6）语音指挥接口：包含地图调度接口、警情热力图接口、视频调度接口、预案调度接口、值班报备接口、警情警力调度接口。</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（7）大数据研判分析：包含重复警情治理子系统、警情常态研判子系统。</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（8）数据支撑服务：包含数据汇聚及数据推送。</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智能体：依托大语言模型、知识图谱等前沿技术构建警情数据智能体，突破传统警务数据治理瓶颈。本次基于无锡市公安局大数据支队大模型平台研发并部署情指专业智能体，聚焦警务实战需求，系统性布局核心模块。</w:t>
      </w:r>
      <w:r>
        <w:rPr>
          <w:color w:val="000000" w:themeColor="text1"/>
          <w:highlight w:val="none"/>
        </w:rPr>
      </w:r>
      <w:r/>
    </w:p>
    <w:p>
      <w:pPr>
        <w:pStyle w:val="883"/>
        <w:ind w:firstLine="482"/>
        <w:spacing w:line="360" w:lineRule="auto"/>
        <w:rPr>
          <w:rFonts w:hint="eastAsia" w:ascii="宋体" w:hAnsi="宋体"/>
          <w:b/>
          <w:bCs w:val="0"/>
          <w:color w:val="000000" w:themeColor="text1"/>
          <w:sz w:val="24"/>
          <w:szCs w:val="24"/>
          <w:highlight w:val="none"/>
        </w:rPr>
      </w:pPr>
      <w:r>
        <w:rPr>
          <w:rFonts w:hint="eastAsia" w:ascii="宋体" w:hAnsi="宋体"/>
          <w:b/>
          <w:bCs w:val="0"/>
          <w:color w:val="000000" w:themeColor="text1"/>
          <w:sz w:val="24"/>
          <w:szCs w:val="24"/>
          <w:highlight w:val="none"/>
        </w:rPr>
        <w:t xml:space="preserve">2.4.情指行（情报）模块</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（1）面向警务实战的智能化情报综合管理平台，集情报采集、分析、研判、指令转化于一体，为公安机关提供全方位的情报支撑服务。</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（2）通过整合公安内外部多源数据，构建覆盖情报工作体系，为公安机关提供高效、精准的情报支撑服务。</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（3）为公安机关提供全方位的情报支撑服务。</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托大数据分析和多部门协同机制，构建全流程闭环管理体系。系统聚焦未成年人异常行为识别、案件处置及帮扶干预，实现对涉未成年人警情的快速响应和精准处置，助力公安机关履行未成年人保护职责。</w:t>
      </w:r>
      <w:r>
        <w:rPr>
          <w:color w:val="000000" w:themeColor="text1"/>
          <w:highlight w:val="none"/>
        </w:rPr>
      </w:r>
      <w:r/>
    </w:p>
    <w:p>
      <w:pPr>
        <w:pStyle w:val="883"/>
        <w:ind w:firstLine="480"/>
        <w:spacing w:line="360" w:lineRule="auto"/>
        <w:rPr>
          <w:rFonts w:hint="eastAsia" w:eastAsia="宋体" w:cs="Times New Roman"/>
          <w:b/>
          <w:bCs w:val="0"/>
          <w:color w:val="000000" w:themeColor="text1"/>
          <w:sz w:val="30"/>
          <w:szCs w:val="30"/>
          <w:highlight w:val="none"/>
        </w:rPr>
      </w:pPr>
      <w:r>
        <w:rPr>
          <w:rFonts w:hint="eastAsia" w:ascii="宋体" w:hAnsi="宋体"/>
          <w:bCs/>
          <w:color w:val="000000" w:themeColor="text1"/>
          <w:sz w:val="24"/>
          <w:szCs w:val="24"/>
          <w:highlight w:val="none"/>
        </w:rPr>
        <w:t xml:space="preserve">（5）与其他部门业务平台资源进行数据共享和业务协同的核心枢纽，旨在构建安全、高效、标准化的数据交互体系。</w:t>
      </w:r>
      <w:r>
        <w:rPr>
          <w:color w:val="000000" w:themeColor="text1"/>
          <w:highlight w:val="none"/>
        </w:rPr>
      </w:r>
      <w:r/>
    </w:p>
    <w:p>
      <w:pPr>
        <w:pStyle w:val="886"/>
        <w:numPr>
          <w:ilvl w:val="0"/>
          <w:numId w:val="0"/>
        </w:numPr>
        <w:ind w:left="468" w:hanging="468"/>
        <w:spacing w:before="0" w:after="0" w:line="360" w:lineRule="auto"/>
        <w:rPr>
          <w:rFonts w:hint="eastAsia" w:eastAsia="宋体" w:cs="Times New Roman"/>
          <w:b/>
          <w:bCs w:val="0"/>
          <w:color w:val="000000" w:themeColor="text1"/>
          <w:sz w:val="30"/>
          <w:szCs w:val="30"/>
          <w:highlight w:val="none"/>
        </w:rPr>
      </w:pPr>
      <w:r>
        <w:rPr>
          <w:rFonts w:hint="eastAsia" w:eastAsia="宋体" w:cs="Times New Roman"/>
          <w:b/>
          <w:bCs w:val="0"/>
          <w:color w:val="000000" w:themeColor="text1"/>
          <w:sz w:val="30"/>
          <w:szCs w:val="30"/>
          <w:highlight w:val="none"/>
          <w:lang w:val="en-US" w:eastAsia="zh-CN"/>
        </w:rPr>
        <w:t xml:space="preserve">3.</w:t>
      </w:r>
      <w:r>
        <w:rPr>
          <w:rFonts w:hint="eastAsia" w:eastAsia="宋体" w:cs="Times New Roman"/>
          <w:b/>
          <w:bCs w:val="0"/>
          <w:color w:val="000000" w:themeColor="text1"/>
          <w:sz w:val="30"/>
          <w:szCs w:val="30"/>
          <w:highlight w:val="none"/>
        </w:rPr>
        <w:t xml:space="preserve">建设清单</w:t>
      </w:r>
      <w:r>
        <w:rPr>
          <w:color w:val="000000" w:themeColor="text1"/>
          <w:highlight w:val="none"/>
        </w:rPr>
      </w:r>
      <w:r/>
    </w:p>
    <w:p>
      <w:pPr>
        <w:pStyle w:val="886"/>
        <w:ind w:left="468" w:hanging="468"/>
        <w:spacing w:before="0" w:after="0" w:line="360" w:lineRule="auto"/>
        <w:rPr>
          <w:bCs w:val="0"/>
          <w:color w:val="000000" w:themeColor="text1"/>
          <w:sz w:val="30"/>
          <w:szCs w:val="30"/>
          <w:highlight w:val="none"/>
        </w:rPr>
      </w:pPr>
      <w:r>
        <w:rPr>
          <w:rFonts w:hint="eastAsia"/>
          <w:bCs w:val="0"/>
          <w:color w:val="000000" w:themeColor="text1"/>
          <w:sz w:val="30"/>
          <w:szCs w:val="30"/>
          <w:highlight w:val="none"/>
        </w:rPr>
        <w:t xml:space="preserve">3</w:t>
      </w:r>
      <w:r>
        <w:rPr>
          <w:bCs w:val="0"/>
          <w:color w:val="000000" w:themeColor="text1"/>
          <w:sz w:val="30"/>
          <w:szCs w:val="30"/>
          <w:highlight w:val="none"/>
        </w:rPr>
        <w:t xml:space="preserve">.1</w:t>
      </w:r>
      <w:r>
        <w:rPr>
          <w:rFonts w:hint="eastAsia"/>
          <w:bCs w:val="0"/>
          <w:color w:val="000000" w:themeColor="text1"/>
          <w:sz w:val="30"/>
          <w:szCs w:val="30"/>
          <w:highlight w:val="none"/>
        </w:rPr>
        <w:t xml:space="preserve">本项目标的及其所属行业清单</w:t>
      </w:r>
      <w:r>
        <w:rPr>
          <w:color w:val="000000" w:themeColor="text1"/>
          <w:highlight w:val="none"/>
        </w:rPr>
      </w: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3.1</w:t>
      </w:r>
      <w:r>
        <w:rPr>
          <w:rFonts w:hint="eastAsia" w:ascii="宋体" w:hAnsi="宋体"/>
          <w:bCs/>
          <w:color w:val="000000" w:themeColor="text1"/>
          <w:sz w:val="24"/>
          <w:szCs w:val="24"/>
          <w:highlight w:val="none"/>
        </w:rPr>
        <w:t xml:space="preserve">.1服务部分标的</w:t>
      </w:r>
      <w:r>
        <w:rPr>
          <w:color w:val="000000" w:themeColor="text1"/>
          <w:highlight w:val="none"/>
        </w:rPr>
      </w:r>
      <w:r/>
    </w:p>
    <w:tbl>
      <w:tblPr>
        <w:tblW w:w="9072" w:type="dxa"/>
        <w:tblInd w:w="0" w:type="dxa"/>
        <w:tblLayout w:type="autofit"/>
        <w:tblCellMar>
          <w:left w:w="108" w:type="dxa"/>
          <w:top w:w="0" w:type="dxa"/>
          <w:right w:w="108" w:type="dxa"/>
          <w:bottom w:w="0" w:type="dxa"/>
        </w:tblCellMar>
        <w:tblLook w:val="04A0" w:firstRow="1" w:lastRow="0" w:firstColumn="1" w:lastColumn="0" w:noHBand="0" w:noVBand="1"/>
      </w:tblPr>
      <w:tblGrid>
        <w:gridCol w:w="3409"/>
        <w:gridCol w:w="1843"/>
        <w:gridCol w:w="3820"/>
      </w:tblGrid>
      <w:tr>
        <w:trPr>
          <w:trHeight w:val="288"/>
        </w:trPr>
        <w:tc>
          <w:tcPr>
            <w:gridSpan w:val="3"/>
            <w:shd w:val="clear" w:color="000000" w:fill="ffffff"/>
            <w:tcBorders>
              <w:top w:val="single" w:color="000000" w:sz="4" w:space="0"/>
              <w:left w:val="none" w:color="000000" w:sz="4" w:space="0"/>
              <w:bottom w:val="single" w:color="000000" w:sz="4" w:space="0"/>
              <w:right w:val="single" w:color="000000" w:sz="4" w:space="0"/>
            </w:tcBorders>
            <w:tcW w:w="9072" w:type="dxa"/>
            <w:vAlign w:val="center"/>
            <w:textDirection w:val="lrTb"/>
            <w:noWrap/>
          </w:tcPr>
          <w:p>
            <w:pPr>
              <w:pStyle w:val="883"/>
              <w:jc w:val="center"/>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服务部分标的</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3409"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定制开发软件</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3409"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5G可视化报警子系统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软件和信息技术服务业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3409"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情盯督子系统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软件和信息技术服务业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3409"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警用无人机模块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软件和信息技术服务业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3409"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情指行（情报）子系统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820"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软件和信息技术服务业</w:t>
            </w:r>
            <w:r>
              <w:rPr>
                <w:color w:val="000000" w:themeColor="text1"/>
                <w:highlight w:val="none"/>
              </w:rPr>
            </w:r>
            <w:r/>
          </w:p>
        </w:tc>
      </w:tr>
    </w:tbl>
    <w:p>
      <w:pPr>
        <w:pStyle w:val="895"/>
        <w:ind w:left="735"/>
        <w:rPr>
          <w:color w:val="000000" w:themeColor="text1"/>
          <w:sz w:val="24"/>
          <w:highlight w:val="none"/>
        </w:rPr>
      </w:pPr>
      <w:r>
        <w:rPr>
          <w:color w:val="000000" w:themeColor="text1"/>
          <w:sz w:val="24"/>
          <w:highlight w:val="none"/>
        </w:rPr>
      </w:r>
      <w:r>
        <w:rPr>
          <w:color w:val="000000" w:themeColor="text1"/>
          <w:highlight w:val="none"/>
        </w:rPr>
      </w:r>
      <w:r/>
    </w:p>
    <w:p>
      <w:pPr>
        <w:pStyle w:val="895"/>
        <w:ind w:left="735"/>
        <w:rPr>
          <w:color w:val="000000" w:themeColor="text1"/>
          <w:sz w:val="24"/>
          <w:highlight w:val="none"/>
        </w:rPr>
      </w:pPr>
      <w:r>
        <w:rPr>
          <w:color w:val="000000" w:themeColor="text1"/>
          <w:sz w:val="24"/>
          <w:highlight w:val="none"/>
        </w:rPr>
        <w:t xml:space="preserve">3.1.2</w:t>
      </w:r>
      <w:r>
        <w:rPr>
          <w:rFonts w:hint="eastAsia" w:ascii="宋体" w:hAnsi="宋体"/>
          <w:bCs/>
          <w:color w:val="000000" w:themeColor="text1"/>
          <w:sz w:val="24"/>
          <w:highlight w:val="none"/>
        </w:rPr>
        <w:t xml:space="preserve">货物部分标的</w:t>
      </w:r>
      <w:r>
        <w:rPr>
          <w:color w:val="000000" w:themeColor="text1"/>
          <w:highlight w:val="none"/>
        </w:rPr>
      </w:r>
      <w:r/>
    </w:p>
    <w:tbl>
      <w:tblPr>
        <w:tblW w:w="9072" w:type="dxa"/>
        <w:tblInd w:w="0" w:type="dxa"/>
        <w:tblLayout w:type="autofit"/>
        <w:tblCellMar>
          <w:left w:w="108" w:type="dxa"/>
          <w:top w:w="0" w:type="dxa"/>
          <w:right w:w="108" w:type="dxa"/>
          <w:bottom w:w="0" w:type="dxa"/>
        </w:tblCellMar>
        <w:tblLook w:val="04A0" w:firstRow="1" w:lastRow="0" w:firstColumn="1" w:lastColumn="0" w:noHBand="0" w:noVBand="1"/>
      </w:tblPr>
      <w:tblGrid>
        <w:gridCol w:w="4253"/>
        <w:gridCol w:w="1984"/>
        <w:gridCol w:w="2835"/>
      </w:tblGrid>
      <w:tr>
        <w:trPr>
          <w:trHeight w:val="288"/>
        </w:trPr>
        <w:tc>
          <w:tcPr>
            <w:gridSpan w:val="3"/>
            <w:shd w:val="clear" w:color="000000" w:fill="ffffff"/>
            <w:tcBorders>
              <w:top w:val="single" w:color="000000" w:sz="4" w:space="0"/>
              <w:left w:val="none" w:color="000000" w:sz="4" w:space="0"/>
              <w:bottom w:val="single" w:color="000000" w:sz="4" w:space="0"/>
              <w:right w:val="single" w:color="000000" w:sz="4" w:space="0"/>
            </w:tcBorders>
            <w:tcW w:w="9072" w:type="dxa"/>
            <w:vAlign w:val="center"/>
            <w:textDirection w:val="lrTb"/>
            <w:noWrap/>
          </w:tcPr>
          <w:p>
            <w:pPr>
              <w:pStyle w:val="883"/>
              <w:jc w:val="center"/>
              <w:widowControl/>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货物部分标的</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交换机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5G高清视频通话接入前置网关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shd w:val="clear" w:color="000000" w:fill="ffffff"/>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5G高清视频通话接入后置网关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98"/>
        </w:trPr>
        <w:tc>
          <w:tcPr>
            <w:shd w:val="clear" w:color="000000" w:fill="ffffff"/>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国产化录制服务器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shd w:val="clear" w:color="000000" w:fill="ffffff"/>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苹果手机视频报警应用服务器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防火墙</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视频安全接入系统前置机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视频安全接入系统后置机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视频安全接入系统安全隔离设备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shd w:val="clear" w:color="000000" w:fill="ffffff"/>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集控探针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市局IP话机及耳麦</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接处警排队调度机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ATCA机箱（1套）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ATCA电源模块（2块）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SMC管理控制板（2块）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NW交换板（2块）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MCU主控板（2块）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E1S 数字中继接口板（2块）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AIB模拟接口板（2块）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4253"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配套数字排队调度控制软件（1套）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详见技术参数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pStyle w:val="883"/>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软件和信息技术服务业</w:t>
            </w:r>
            <w:r>
              <w:rPr>
                <w:color w:val="000000" w:themeColor="text1"/>
                <w:highlight w:val="none"/>
              </w:rPr>
            </w:r>
            <w:r/>
          </w:p>
        </w:tc>
      </w:tr>
    </w:tbl>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6"/>
        <w:numPr>
          <w:ilvl w:val="0"/>
          <w:numId w:val="0"/>
        </w:numPr>
        <w:ind w:left="468" w:hanging="468"/>
        <w:spacing w:before="0" w:after="0" w:line="360" w:lineRule="auto"/>
        <w:rPr>
          <w:rFonts w:hint="eastAsia" w:eastAsia="宋体" w:cs="Times New Roman"/>
          <w:b/>
          <w:bCs w:val="0"/>
          <w:color w:val="000000" w:themeColor="text1"/>
          <w:sz w:val="30"/>
          <w:szCs w:val="30"/>
          <w:highlight w:val="none"/>
        </w:rPr>
      </w:pPr>
      <w:r>
        <w:rPr>
          <w:rFonts w:hint="eastAsia" w:eastAsia="宋体" w:cs="Times New Roman"/>
          <w:b/>
          <w:bCs w:val="0"/>
          <w:color w:val="000000" w:themeColor="text1"/>
          <w:sz w:val="30"/>
          <w:szCs w:val="30"/>
          <w:highlight w:val="none"/>
        </w:rPr>
        <w:t xml:space="preserve">3.</w:t>
      </w:r>
      <w:r>
        <w:rPr>
          <w:rFonts w:hint="eastAsia" w:eastAsia="宋体" w:cs="Times New Roman"/>
          <w:b/>
          <w:bCs w:val="0"/>
          <w:color w:val="000000" w:themeColor="text1"/>
          <w:sz w:val="30"/>
          <w:szCs w:val="30"/>
          <w:highlight w:val="none"/>
          <w:lang w:val="en-US" w:eastAsia="zh-CN"/>
        </w:rPr>
        <w:t xml:space="preserve">2</w:t>
      </w:r>
      <w:r>
        <w:rPr>
          <w:rFonts w:hint="eastAsia" w:eastAsia="宋体" w:cs="Times New Roman"/>
          <w:b/>
          <w:bCs w:val="0"/>
          <w:color w:val="000000" w:themeColor="text1"/>
          <w:sz w:val="30"/>
          <w:szCs w:val="30"/>
          <w:highlight w:val="none"/>
        </w:rPr>
        <w:t xml:space="preserve">.硬件清单</w:t>
      </w:r>
      <w:r>
        <w:rPr>
          <w:color w:val="000000" w:themeColor="text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62"/>
        <w:gridCol w:w="1289"/>
        <w:gridCol w:w="6554"/>
        <w:gridCol w:w="664"/>
      </w:tblGrid>
      <w:tr>
        <w:trPr>
          <w:trHeight w:val="561"/>
        </w:trPr>
        <w:tc>
          <w:tcPr>
            <w:shd w:val="clear" w:color="000000" w:fill="ffffff"/>
            <w:tcBorders>
              <w:top w:val="single" w:color="000000" w:sz="4" w:space="0"/>
              <w:left w:val="single" w:color="000000" w:sz="4" w:space="0"/>
              <w:bottom w:val="single" w:color="000000" w:sz="4" w:space="0"/>
              <w:right w:val="single" w:color="000000" w:sz="4" w:space="0"/>
            </w:tcBorders>
            <w:tcW w:w="361" w:type="dxa"/>
            <w:vAlign w:val="center"/>
            <w:textDirection w:val="lrTb"/>
            <w:noWrap/>
          </w:tcPr>
          <w:p>
            <w:pPr>
              <w:pStyle w:val="883"/>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序号</w:t>
            </w:r>
            <w:r>
              <w:rPr>
                <w:color w:val="000000" w:themeColor="text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703"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分项名称</w:t>
            </w:r>
            <w:r>
              <w:rPr>
                <w:color w:val="000000" w:themeColor="text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573"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性能指标</w:t>
            </w:r>
            <w:r>
              <w:rPr>
                <w:color w:val="000000" w:themeColor="text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62"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数量</w:t>
            </w:r>
            <w:r>
              <w:rPr>
                <w:color w:val="000000" w:themeColor="text1"/>
                <w:highlight w:val="none"/>
              </w:rPr>
            </w:r>
            <w:r/>
          </w:p>
        </w:tc>
      </w:tr>
      <w:tr>
        <w:trPr>
          <w:trHeight w:val="561"/>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一</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网络设备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tcPr>
          <w:p>
            <w:pPr>
              <w:pStyle w:val="883"/>
              <w:jc w:val="center"/>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　</w:t>
            </w:r>
            <w:r>
              <w:rPr>
                <w:color w:val="000000" w:themeColor="text1"/>
                <w:highlight w:val="none"/>
              </w:rPr>
            </w:r>
            <w:r/>
          </w:p>
        </w:tc>
      </w:tr>
      <w:tr>
        <w:trPr>
          <w:trHeight w:val="561"/>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交换机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24口千兆交换机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w:t>
            </w:r>
            <w:r>
              <w:rPr>
                <w:color w:val="000000" w:themeColor="text1"/>
                <w:highlight w:val="none"/>
              </w:rPr>
            </w:r>
            <w:r/>
          </w:p>
        </w:tc>
      </w:tr>
      <w:tr>
        <w:trPr>
          <w:trHeight w:val="561"/>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二</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主机设备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tcPr>
          <w:p>
            <w:pPr>
              <w:pStyle w:val="883"/>
              <w:jc w:val="center"/>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tcPr>
          <w:p>
            <w:pPr>
              <w:pStyle w:val="883"/>
              <w:jc w:val="center"/>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　</w:t>
            </w:r>
            <w:r>
              <w:rPr>
                <w:color w:val="000000" w:themeColor="text1"/>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5G高清视频通话接入前置网关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top"/>
            <w:textDirection w:val="lrTb"/>
            <w:noWrap w:val="false"/>
          </w:tcPr>
          <w:p>
            <w:pPr>
              <w:pStyle w:val="883"/>
              <w:jc w:val="left"/>
              <w:widowControl/>
              <w:rPr>
                <w:rFonts w:hint="eastAsia"/>
                <w:color w:val="000000" w:themeColor="text1"/>
                <w:highlight w:val="none"/>
              </w:rPr>
            </w:pPr>
            <w:r>
              <w:rPr>
                <w:rFonts w:hint="eastAsia" w:ascii="宋体" w:hAnsi="宋体" w:cs="宋体"/>
                <w:color w:val="000000" w:themeColor="text1"/>
                <w:sz w:val="20"/>
                <w:szCs w:val="20"/>
                <w:highlight w:val="none"/>
              </w:rPr>
              <w:t xml:space="preserve">1）3U机架</w:t>
            </w:r>
            <w:r>
              <w:rPr>
                <w:rFonts w:hint="eastAsia" w:ascii="宋体" w:hAnsi="宋体" w:cs="宋体"/>
                <w:color w:val="000000" w:themeColor="text1"/>
                <w:sz w:val="20"/>
                <w:szCs w:val="20"/>
                <w:highlight w:val="none"/>
              </w:rPr>
              <w:t xml:space="preserve">式设备；2）CPU:20核40线程 22M高速级存 2.50GHZ/内存:4*16GB DDR4 2666/存储:2*240GB企业级SSDD固态硬盘/冗余电源；3）6个RJ45网口；4）4个RJ48接头E1通信接口，120Ω平衡；5）支持7号信令/PRI协议，支持语音交换、回声抑制、DTMF检测和生成；6）支持SIP协议（RFC3261），支持RTP/RTCP;7）支持GB/T 28181-2011、2016、2022协议，支持系统间的注册、保活以及媒体流单向传输;8）支持语音混音，支持多路视频画面合成；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w:t>
            </w:r>
            <w:r>
              <w:rPr>
                <w:color w:val="000000" w:themeColor="text1"/>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5G高清视频通话接入后置网关</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top"/>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1）3U机架式设备；2）CPU:20核40线程 22M高速级存 2.50GHZ/内存:4*16GB DDR4 2666/存储:2*240GB企业级SSDD固态硬盘/冗余电源；3）2个RJ45网口 4）2个RJ48接头E1通信接口，120Ω平衡；5）支持7号信令/PRI协议，支持语音交换、回声抑制、DTMF检测和生成；6）支持GB/T 28181-2011、2016、2022协议，支持系统间的注册、保活以及流媒体单向传输;7）支持WebRTC实时通讯，具备NAT网络穿透能力，兼容主流浏览器；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w:t>
            </w:r>
            <w:r>
              <w:rPr>
                <w:color w:val="000000" w:themeColor="text1"/>
                <w:highlight w:val="none"/>
              </w:rPr>
            </w:r>
            <w:r/>
          </w:p>
        </w:tc>
      </w:tr>
      <w:tr>
        <w:trPr>
          <w:trHeight w:val="561"/>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三</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安全设备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　</w:t>
            </w:r>
            <w:r>
              <w:rPr>
                <w:color w:val="000000" w:themeColor="text1"/>
                <w:highlight w:val="none"/>
              </w:rPr>
            </w:r>
            <w:r/>
          </w:p>
        </w:tc>
      </w:tr>
      <w:tr>
        <w:trPr>
          <w:trHeight w:val="561"/>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防火墙</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网络层吞吐量≥20Gbps，应用层吞吐量≥9Gbps，并发连接数≥200万，新建连接数≥9万；</w:t>
            </w:r>
            <w:r>
              <w:rPr>
                <w:rFonts w:hint="eastAsia" w:ascii="宋体" w:hAnsi="宋体" w:eastAsia="宋体" w:cs="宋体"/>
                <w:color w:val="000000" w:themeColor="text1"/>
                <w:sz w:val="20"/>
                <w:szCs w:val="20"/>
                <w:highlight w:val="none"/>
              </w:rPr>
              <w:br w:type="textWrapping" w:clear="all"/>
            </w:r>
            <w:r>
              <w:rPr>
                <w:rFonts w:hint="eastAsia" w:ascii="宋体" w:hAnsi="宋体" w:eastAsia="宋体" w:cs="宋体"/>
                <w:color w:val="000000" w:themeColor="text1"/>
                <w:sz w:val="20"/>
                <w:szCs w:val="20"/>
                <w:highlight w:val="none"/>
              </w:rPr>
              <w:t xml:space="preserve">具备并开启入侵防御功能模块 </w:t>
            </w:r>
            <w:r>
              <w:rPr>
                <w:rFonts w:hint="eastAsia" w:ascii="宋体" w:hAnsi="宋体" w:eastAsia="宋体" w:cs="宋体"/>
                <w:color w:val="000000" w:themeColor="text1"/>
                <w:sz w:val="20"/>
                <w:szCs w:val="20"/>
                <w:highlight w:val="none"/>
              </w:rPr>
              <w:br w:type="textWrapping" w:clear="all"/>
            </w:r>
            <w:r>
              <w:rPr>
                <w:rFonts w:hint="eastAsia" w:ascii="宋体" w:hAnsi="宋体" w:eastAsia="宋体" w:cs="宋体"/>
                <w:color w:val="000000" w:themeColor="text1"/>
                <w:sz w:val="20"/>
                <w:szCs w:val="20"/>
                <w:highlight w:val="none"/>
              </w:rPr>
              <w:t xml:space="preserve">标准1U设备；标配≥8个千兆电口+8个万兆光口；CPU、操作系统满足国产化要求；</w:t>
            </w:r>
            <w:r>
              <w:rPr>
                <w:rFonts w:hint="eastAsia" w:ascii="宋体" w:hAnsi="宋体" w:eastAsia="宋体" w:cs="宋体"/>
                <w:color w:val="000000" w:themeColor="text1"/>
                <w:sz w:val="20"/>
                <w:szCs w:val="20"/>
                <w:highlight w:val="none"/>
              </w:rPr>
              <w:br w:type="textWrapping" w:clear="all"/>
            </w:r>
            <w:r>
              <w:rPr>
                <w:rFonts w:hint="eastAsia" w:ascii="宋体" w:hAnsi="宋体" w:eastAsia="宋体" w:cs="宋体"/>
                <w:color w:val="000000" w:themeColor="text1"/>
                <w:sz w:val="20"/>
                <w:szCs w:val="20"/>
                <w:highlight w:val="none"/>
              </w:rPr>
              <w:t xml:space="preserve">产品支持路由模式、透明模式、虚拟网线模式、旁路镜像模式等多种部署方式。</w:t>
            </w:r>
            <w:r>
              <w:rPr>
                <w:rFonts w:hint="eastAsia" w:ascii="宋体" w:hAnsi="宋体" w:eastAsia="宋体" w:cs="宋体"/>
                <w:color w:val="000000" w:themeColor="text1"/>
                <w:sz w:val="20"/>
                <w:szCs w:val="20"/>
                <w:highlight w:val="none"/>
              </w:rPr>
              <w:br w:type="textWrapping" w:clear="all"/>
            </w:r>
            <w:r>
              <w:rPr>
                <w:rFonts w:hint="eastAsia" w:ascii="宋体" w:hAnsi="宋体" w:eastAsia="宋体" w:cs="宋体"/>
                <w:color w:val="000000" w:themeColor="text1"/>
                <w:sz w:val="20"/>
                <w:szCs w:val="20"/>
                <w:highlight w:val="none"/>
              </w:rPr>
              <w:t xml:space="preserve">产品支持静态路由、策略路由和多播路由协议，并支持BGP、RIP、OSPF等动态路由协议。</w:t>
            </w:r>
            <w:r>
              <w:rPr>
                <w:rFonts w:hint="eastAsia" w:ascii="宋体" w:hAnsi="宋体" w:eastAsia="宋体" w:cs="宋体"/>
                <w:color w:val="000000" w:themeColor="text1"/>
                <w:sz w:val="20"/>
                <w:szCs w:val="20"/>
                <w:highlight w:val="none"/>
              </w:rPr>
              <w:br w:type="textWrapping" w:clear="all"/>
            </w:r>
            <w:r>
              <w:rPr>
                <w:rFonts w:hint="eastAsia" w:ascii="宋体" w:hAnsi="宋体" w:eastAsia="宋体" w:cs="宋体"/>
                <w:color w:val="000000" w:themeColor="text1"/>
                <w:sz w:val="20"/>
                <w:szCs w:val="20"/>
                <w:highlight w:val="none"/>
              </w:rPr>
              <w:t xml:space="preserve">产品支持策略路由负载来支持基于服务、ISP地址、应用、地域等维度进行智能选路，保证关键业务流量通过优质链路转发，总共需要支持加权流量、带宽比例、线路优先等负载均衡调度算法。</w:t>
            </w:r>
            <w:r>
              <w:rPr>
                <w:color w:val="000000" w:themeColor="text1"/>
                <w:highlight w:val="none"/>
              </w:rPr>
            </w:r>
            <w:r/>
          </w:p>
          <w:p>
            <w:pPr>
              <w:pStyle w:val="883"/>
              <w:jc w:val="left"/>
              <w:widowControl/>
              <w:rPr>
                <w:rFonts w:hint="eastAsia" w:ascii="宋体" w:hAnsi="宋体" w:eastAsia="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支持日志审计，可接入日志源数量40。含1个内置采集器，含日志收集、日志查询、日志存储、报表管理、事件管理、资产管理、用户管理、系统配置等功能。包含项目服务期内的①产品系统升级授权；②远程支持服务；③产品保修服务；④NSP硬件故障上门支持。</w:t>
            </w:r>
            <w:r>
              <w:rPr>
                <w:color w:val="000000" w:themeColor="text1"/>
                <w:highlight w:val="none"/>
              </w:rPr>
            </w:r>
            <w:r/>
          </w:p>
          <w:p>
            <w:pPr>
              <w:pStyle w:val="883"/>
              <w:jc w:val="left"/>
              <w:widowControl/>
              <w:rPr>
                <w:rFonts w:hint="eastAsia" w:ascii="宋体" w:hAnsi="宋体" w:cs="宋体"/>
                <w:color w:val="000000" w:themeColor="text1"/>
                <w:sz w:val="20"/>
                <w:szCs w:val="20"/>
                <w:highlight w:val="none"/>
              </w:rPr>
            </w:pPr>
            <w:r>
              <w:rPr>
                <w:rFonts w:hint="eastAsia" w:ascii="宋体" w:hAnsi="宋体" w:eastAsia="宋体" w:cs="宋体"/>
                <w:color w:val="000000" w:themeColor="text1"/>
                <w:sz w:val="20"/>
                <w:szCs w:val="20"/>
                <w:highlight w:val="none"/>
              </w:rPr>
              <w:t xml:space="preserve">支持安全运维管理，授权管理50台设备和3个SDP远程接入授权。授权管理50台设备和3个SDP远程接入授权。包含项目服务期内的产品系统升级授权、产品保修服务、远程支持服务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r>
      <w:tr>
        <w:trPr>
          <w:trHeight w:val="4027"/>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视频安全接入系统前置机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spacing w:after="240"/>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1、机箱：2U</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2、网口：4个千兆电口，4个万兆光口；CPU、操作系统满足国产化要求；</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性能：</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1、通道最大带宽：7.5Gbps。</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2、标清视频最大并发数（单路2Mbps）：3750路。</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3、高清视频最大并发数（单路4Mbps）：1750路。</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4、超高清视频最大并发数（单路6Mbps）：1250路。</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5、平均丢包率小于0.5%。</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6、平均时延小于50ms</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一、基本功能</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1、支持内网用户使用用户名密码、数字证书登陆认证。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2、支持客户端模式和代理模式。</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3、支持视频信令双向安全传输，视频码流双向安全传输。</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4、支持使用RTSP、SIP、DB33、GB 35114等标准视频信令的应用接入；支持市面上主流的视频厂家的私有协议应用定制接入；支持海康、大华、宇视、科达 、华为、中星等市面上主流的视频应用直接接入。</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5、支持视频码流编码SVAC、H.265、H.264、H.263、MPG4、MPG2等格式码流接入。</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二、数据检查和控制</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1、支持数据安全检查，主要包括：数据源检查、网络包格式检查以及阻止异常UDP分片包。</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2、支持对SIP信令的内容过滤，对敏感信息的信令进行拦截阻断，并进行日志报警。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3、支持视频码流编码协议检查，如：SVAC、H.265、H.264、H.263、MPG4、MPG2等视频编码协议进行白名单方式检查，并进行及时阻断和告警。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4、视频控制信令格式检查，支持对SIP信令的识别，支持对不符合格式的信令进行拦截丢弃，并进行日志报警。如：RTSP、SIP、DB33、GB35114-2017等视频控制信令格式进行白名单方式检查，并进行及时阻断和告警。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5、支持对视频业务流量进行实时监控，根据规则定义判定业务每秒最大吞吐实施控制，超出范围即阻断。</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三、访问用户身份认证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1、支持与PKI/PMI体系无缝集成，支持证书链认证，同时支持用户名密码登录认证。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2、支持ACL用户访问控制，控制指定的用户访问指定的资源地址和端口。</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3、支持对登录视频安全接入系统的管理员进行基于口令认证方式的身份认证，认证方式有足够强度，口令强度需包含3类以上字符（大写字母、小写字母、数字和特殊字符），口令长度不少于8位。</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4、支持对管理员登录地址、登录超时、远程登录进行限制配置。</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四、设备身份认证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1、对专网下级应用的信令服务器、码流服务器资源进行统一管理，只有注册的设备才可被用户访。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2、对专网下级应用的信令服务器、码流服务器的设备信息进行匹配，只有符合要求并注册的设备才可接入网络。</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3、对不可接入的信令服务器、码流服务器的设备及时阻断并告警。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4、基于GB35114，支持基于IP地址和端口、数字证书的身份认证，并对上下级域访问基于注册规则的控制，确保最小授权。支持对视频业务的注册、查询、变更和注销。</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五、应用级联 </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1、支持各大厂家的GB28181-2011标准的视频平台级联。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2、支持各大厂家的GB28181-2016标准的视频平台级联。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3、支持各大厂家的GB28181-2022标准的视频平台级联。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4、支持各大厂家的GB35114-2017标准的视频平台级联。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5、支持各大厂家的DB33标准的视频平台级联。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6、支持一个下级应用平台的视频资源分享给多少上级应用平台的级联。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7、支持多个下级应用平台的视频资源汇聚到一个上级应用平台的级联。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六、其他安全</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1、支持采用信令签名或信令加密等技术保证信令协议自身安全，抵御信令被篡改、夹带等安全风险。</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2、支持签名验签功能，支持定制开发与第三方签名验签服务器对接，确保数据交换数据的真实性、完整性和不可抵赖性。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r>
      <w:tr>
        <w:trPr>
          <w:trHeight w:val="7897"/>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视频安全接入系统后置机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1、机箱：2U</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2、网口：4个千兆电口，4个万兆光口；CPU、操作系统满足国产化要求；</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性能：</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1、通道最大带宽：7.5Gbps。</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2、标清视频最大并发数（单路2Mbps）：3750路。</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3、高清视频最大并发数（单路4Mbps）：1750路。</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4、超高清视频最大并发数（单路6Mbps）：1250路。</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5、平均丢包率小于0.5%。</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6、平均时延小于50ms</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一、基本功能</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1、支持内网用户使用用户名密码、数字证书登陆认证。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2、支持客户端模式和代理模式。</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3、支持视频信令双向安全传输，视频码流双向安全传输。</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4、支持使用RTSP、SIP、DB33、GB 35114等标准视频信令的应用接入；支持市面上主流的视频厂家的私有协议应用定制接入；支持海康、大华、宇视、科达 、华为、中星等市面上主流的视频应用直接接入。</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5、支持视频码流编码SVAC、H.265、H.264、H.263、MPG4、MPG2等格式码流接入。</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二、数据检查和控制</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1、支持数据安全检查，主要包括：数据源检查、网络包格式检查以及阻止异常UDP分片包。</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2、支持对SIP信令的内容过滤，对敏感信息的信令进行拦截阻断，并进行日志报警。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3、支持视频码流编码协议检查，如：SVAC、H.265、H.264、H.263、MPG4、MPG2等视频编码协议进行白名单方式检查，并进行及时阻断和告警。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4、视频控制信令格式检查，支持对SIP信令的识别，支持对不符合格式的信令进行拦截丢弃，并进行日志报警。如：RTSP、SIP、DB33、GB35114-2017等视频控制信令格式进行白名单方式检查，并进行及时阻断和告警。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5、支持对视频业务流量进行实时监控，根据规则定义判定业务每秒最大吞吐实施控制，超出范围即阻断。</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三、访问用户身份认证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1、支持与PKI/PMI体系无缝集成，支持证书链认证，同时支持用户名密码登录认证。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2、支持ACL用户访问控制，控制指定的用户访问指定的资源地址和端口。</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3、支持对登录视频安全接入系统的管理员进行基于口令认证方式的身份认证，认证方式有足够强度，口令强度需包含3类以上字符（大写字母、小写字母、数字和特殊字符），口令长度不少于8位。</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4、支持对管理员登录地址、登录超时、远程登录进行限制配置。</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四、设备身份认证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1、对专网下级应用的信令服务器、码流服务器资源进行统一管理，只有注册的设备才可被用户访。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2、对专网下级应用的信令服务器、码流服务器的设备信息进行匹配，只有符合要求并注册的设备才可接入网络。</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3、对不可接入的信令服务器、码流服务器的设备及时阻断并告警。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4、基于GB35114，支持基于IP地址和端口、数字证书的身份认证，并对上下级域访问基于注册规则的控制，确保最小授权。支持对视频业务的注册、查询、变更和注销。</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五、应用级联 </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1、支持各大厂家的GB28181-2011标准的视频平台级联。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2、支持各大厂家的GB28181-2016标准的视频平台级联。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3、支持各大厂家的GB28181-2022标准的视频平台级联。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4、支持各大厂家的GB35114-2017标准的视频平台级联。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5、支持各大厂家的DB33标准的视频平台级联。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6、支持一个下级应用平台的视频资源分享给多少上级应用平台的级联。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7、支持多个下级应用平台的视频资源汇聚到一个上级应用平台的级联。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六、其他安全</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1、支持采用信令签名或信令加密等技术保证信令协议自身安全，抵御信令被篡改、夹带等安全风险。</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2、支持签名验签功能，支持定制开发与第三方签名验签服务器对接，确保数据交换数据的真实性、完整性和不可抵赖性。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r>
      <w:tr>
        <w:trPr>
          <w:trHeight w:val="5825"/>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视频安全接入系统安全隔离设备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2U机箱，前后端双主机架构，每端配置：</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网口：4个千兆电口，2个万兆光口；CPU、操作系统满足国产化要求；</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性能:1、通道最大带宽：7.5Gbps。</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2、标清视频最大并发数（单路2Mbps）：3750路。</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3、高清视频最大并发数（单路4Mbps）：1750路。</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4、超高清视频最大并发数（单路6Mbps）：1250路。</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5、平均丢包率小于0.5%。</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6、平均时延小于50ms</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一、基本功能</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1、支持内网用户使用用户名密码、数字证书登陆认证。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2、支持客户端模式和代理模式。</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3、支持视频信令双向安全传输，视频码流双向安全传输。</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4、支持使用RTSP、SIP、DB33、GB 35114等标准视频信令的应用接入；支持市面上主流的视频厂家的私有协议应用定制接入；支持海康、大华、宇视、科达 、华为、中星等市面上主流的视频应用直接接入。</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5、支持视频码流编码SVAC、H.265、H.264、H.263、MPG4、MPG2等格式码流接入。</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二、数据检查和控制</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1、支持数据安全检查，主要包括：数据源检查、网络包格式检查以及阻止异常UDP分片包。</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2、支持对SIP信令的内容过滤，对敏感信息的信令进行拦截阻断，并进行日志报警。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3、支持视频码流编码协议检查，如：SVAC、H.265、H.264、H.263、MPG4、MPG2等视频编码协议进行白名单方式检查，并进行及时阻断和告警。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4、视频控制信令格式检查，支持对SIP信令的识别，支持对不符合格式的信令进行拦截丢弃，并进行日志报警。如：RTSP、SIP、DB33、GB35114-2017等视频控制信令格式进行白名单方式检查，并进行及时阻断和告警。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5、支持对视频业务流量进行实时监控，根据规则定义判定业务每秒最大吞吐实施控制，超出范围即阻断。</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三、访问用户身份认证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1、支持与PKI/PMI体系无缝集成，支持证书链认证，同时支持用户名密码登录认证。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2、支持ACL用户访问控制，控制指定的用户访问指定的资源地址和端口。</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3、支持对登录视频安全接入系统的管理员进行基于口令认证方式的身份认证，认证方式有足够强度，口令强度需包含3类以上字符（大写字母、小写字母、数字和特殊字符），口令长度不少于8位。</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4、支持对管理员登录地址、登录超时、远程登录进行限制配置。</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四、设备身份认证</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1、对专网下级应用的信令服务器、码流服务器资源进行统一管理，只有注册的设备才可被用户访。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2、对专网下级应用的信令服务器、码流服务器的设备信息进行匹配，只有符合要求并注册的设备才可接入网络。</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3、对不可接入的信令服务器、码流服务器的设备及时阻断并告警。</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4、基于GB35114，支持基于IP地址和端口、数字证书的身份认证，并对上下级域访问基于注册规则的控制，确保最小授权。支持对视频业务的注册、查询、变更和注销。</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五、应用级联 </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1、支持各大厂家的GB28181-2011标准的视频平台级联。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2、支持各大厂家的GB28181-2016标准的视频平台级联。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3、支持各大厂家的GB28181-2022标准的视频平台级联。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4、支持各大厂家的GB35114-2017标准的视频平台级联。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5、支持各大厂家的DB33标准的视频平台级联。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6、支持一个下级应用平台的视频资源分享给多少上级应用平台的级联。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7、支持多个下级应用平台的视频资源汇聚到一个上级应用平台的级联。</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六、其他安全</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1、支持采用信令签名或信令加密等技术保证信令协议自身安全，抵御信令被篡改、夹带等安全风险。</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2、支持签名验签功能，支持定制开发与第三方签名验签服务器对接，确保数据交换数据的真实性、完整性和不可抵赖性。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r>
      <w:tr>
        <w:trPr>
          <w:trHeight w:val="144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集控探针</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2U机箱</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网口配置：6个千兆网口；CPU、操作系统满足国产化要求；</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1、支持多种设备状态信息的采集（被管设备需支持SNMP协议）</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2、支持SYSLOG、SNMP2.0/3.0协议采集信息（被管设备需支持SNMP协议）；</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每秒可接收日志条数不小于200条</w:t>
            </w:r>
            <w:r>
              <w:rPr>
                <w:color w:val="000000" w:themeColor="text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r>
      <w:tr>
        <w:trPr>
          <w:trHeight w:val="561"/>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四</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其他设备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　</w:t>
            </w:r>
            <w:r>
              <w:rPr>
                <w:color w:val="000000" w:themeColor="text1"/>
                <w:highlight w:val="none"/>
              </w:rPr>
            </w:r>
            <w:r/>
          </w:p>
        </w:tc>
      </w:tr>
      <w:tr>
        <w:trPr>
          <w:trHeight w:val="24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市局IP话机及耳麦</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IP话机：支持不少于2个SIP账号，2个线路键，双百兆网口，支持POE，支持RJ9、耳机接口、耳麦：RJ9接口，单指向麦克风类型</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70</w:t>
            </w:r>
            <w:r>
              <w:rPr>
                <w:color w:val="000000" w:themeColor="text1"/>
                <w:highlight w:val="none"/>
              </w:rPr>
            </w:r>
            <w:r/>
          </w:p>
        </w:tc>
      </w:tr>
      <w:tr>
        <w:trPr>
          <w:trHeight w:val="24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五</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接处警排队调度机</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　</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62" w:type="dxa"/>
            <w:vAlign w:val="center"/>
            <w:textDirection w:val="lrTb"/>
            <w:noWrap w:val="false"/>
          </w:tcPr>
          <w:p>
            <w:pPr>
              <w:pStyle w:val="883"/>
              <w:jc w:val="center"/>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　</w:t>
            </w:r>
            <w:r>
              <w:rPr>
                <w:color w:val="000000" w:themeColor="text1"/>
                <w:highlight w:val="none"/>
              </w:rPr>
            </w:r>
            <w:r/>
          </w:p>
        </w:tc>
      </w:tr>
      <w:tr>
        <w:trPr>
          <w:trHeight w:val="192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ATCA机箱</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top"/>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1）ATCA机箱包含背板、19 英寸上架机箱，高度≤16U 槽位≥14个；</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2）每槽位 350W 散热，上下两个可插拔风扇框，前下部进风，后上部出风，抽拉式散热方式；</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3）标准 40G 背板；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4）支持多冗余模块电源 220V 输入，最大可以扩充至4个电源模块；</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5）前面板 14 个标准 ATCA 单板槽位，后框 14 个标准 ATCA 后板槽位；</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lang w:val="en-US" w:eastAsia="zh-CN"/>
              </w:rPr>
              <w:t xml:space="preserve">6</w:t>
            </w:r>
            <w:r>
              <w:rPr>
                <w:rFonts w:hint="eastAsia" w:ascii="宋体" w:hAnsi="宋体" w:cs="宋体"/>
                <w:color w:val="000000" w:themeColor="text1"/>
                <w:sz w:val="20"/>
                <w:szCs w:val="20"/>
                <w:highlight w:val="none"/>
              </w:rPr>
              <w:t xml:space="preserve">）5寸液晶触控管理面板，动态显示机箱温度、风扇状态等功能；</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lang w:val="en-US" w:eastAsia="zh-CN"/>
              </w:rPr>
              <w:t xml:space="preserve">7</w:t>
            </w:r>
            <w:r>
              <w:rPr>
                <w:rFonts w:hint="eastAsia" w:ascii="宋体" w:hAnsi="宋体" w:cs="宋体"/>
                <w:color w:val="000000" w:themeColor="text1"/>
                <w:sz w:val="20"/>
                <w:szCs w:val="20"/>
                <w:highlight w:val="none"/>
              </w:rPr>
              <w:t xml:space="preserve">）具备人体感应开启亮屏幕功能</w:t>
            </w:r>
            <w:r>
              <w:rPr>
                <w:color w:val="000000" w:themeColor="text1"/>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W w:w="362" w:type="dxa"/>
            <w:vAlign w:val="center"/>
            <w:vMerge w:val="restart"/>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w:t>
            </w:r>
            <w:r>
              <w:rPr>
                <w:color w:val="000000" w:themeColor="text1"/>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ATCA电源模块</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1）电源模块输入电压范围宽至85～300VAC，输出功率：3000W（176～290VAC）；</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2）支持在线热插拔功能；</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2" w:type="dxa"/>
            <w:vAlign w:val="center"/>
            <w:vMerge w:val="continue"/>
            <w:textDirection w:val="lrTb"/>
            <w:noWrap w:val="false"/>
          </w:tcPr>
          <w:p>
            <w:pPr>
              <w:pStyle w:val="883"/>
              <w:jc w:val="left"/>
              <w:widowControl/>
              <w:rPr>
                <w:rFonts w:ascii="宋体" w:hAnsi="宋体" w:cs="宋体"/>
                <w:color w:val="000000"/>
                <w:sz w:val="20"/>
                <w:szCs w:val="20"/>
              </w:rPr>
            </w:pPr>
            <w:r>
              <w:rPr>
                <w:rFonts w:ascii="宋体" w:hAnsi="宋体" w:cs="宋体"/>
                <w:color w:val="000000"/>
                <w:sz w:val="20"/>
                <w:szCs w:val="20"/>
              </w:rPr>
            </w:r>
            <w:r/>
          </w:p>
        </w:tc>
      </w:tr>
      <w:tr>
        <w:trPr>
          <w:trHeight w:val="96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SMC管理控制板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1）半高小板设计，支持热插拔，支持1＋1冗余配置；</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2）IPMB/I2C总线，IPMI智能型协议接口，可管理的部分包括智能风扇控制板、以及插入机箱中的业务板、交换板；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3）参数采集与指示：采集计算刀片温度、框内温度、风扇运行等动态展示；</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4）屏幕控制功能：人体红外感应息屏控制。</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2" w:type="dxa"/>
            <w:vAlign w:val="center"/>
            <w:vMerge w:val="continue"/>
            <w:textDirection w:val="lrTb"/>
            <w:noWrap w:val="false"/>
          </w:tcPr>
          <w:p>
            <w:pPr>
              <w:pStyle w:val="883"/>
              <w:jc w:val="left"/>
              <w:widowControl/>
              <w:rPr>
                <w:rFonts w:ascii="宋体" w:hAnsi="宋体" w:cs="宋体"/>
                <w:color w:val="000000"/>
                <w:sz w:val="20"/>
                <w:szCs w:val="20"/>
              </w:rPr>
            </w:pPr>
            <w:r>
              <w:rPr>
                <w:rFonts w:ascii="宋体" w:hAnsi="宋体" w:cs="宋体"/>
                <w:color w:val="000000"/>
                <w:sz w:val="20"/>
                <w:szCs w:val="20"/>
              </w:rPr>
            </w:r>
            <w:r/>
          </w:p>
        </w:tc>
      </w:tr>
      <w:tr>
        <w:trPr>
          <w:trHeight w:val="72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NW交换板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top"/>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1)千兆网络交换接口板，内置于ATCA标准机框的任何NODE槽位；</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2）兼容PICMG 3.0规范，支持热插拔，支持1＋1冗余配置，提供ATCA接口连接千兆网络信号，千兆接口定义符合ATCA标准规范；</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3)前面板提供2个千兆SFP光接口和8个千兆电口接口；</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2" w:type="dxa"/>
            <w:vAlign w:val="center"/>
            <w:vMerge w:val="continue"/>
            <w:textDirection w:val="lrTb"/>
            <w:noWrap w:val="false"/>
          </w:tcPr>
          <w:p>
            <w:pPr>
              <w:pStyle w:val="883"/>
              <w:jc w:val="left"/>
              <w:widowControl/>
              <w:rPr>
                <w:rFonts w:ascii="宋体" w:hAnsi="宋体" w:cs="宋体"/>
                <w:color w:val="000000"/>
                <w:sz w:val="20"/>
                <w:szCs w:val="20"/>
              </w:rPr>
            </w:pPr>
            <w:r>
              <w:rPr>
                <w:rFonts w:ascii="宋体" w:hAnsi="宋体" w:cs="宋体"/>
                <w:color w:val="000000"/>
                <w:sz w:val="20"/>
                <w:szCs w:val="20"/>
              </w:rPr>
            </w:r>
            <w:r/>
          </w:p>
        </w:tc>
      </w:tr>
      <w:tr>
        <w:trPr>
          <w:trHeight w:val="144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MCU主控板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top"/>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1）主控板采用冗余备份功能，内置于ATCA标准机框的任何NODE槽位；</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2）主控板配置：内存≥32G，硬盘≥512G,前面板两个千兆电口,一个显示接口,两个USB接口,一个ConSole接口；</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3）完备的软交换功能，集语音、业务数据、管理数据等为一体，提供通信资源管理、座席管理、集群管理、系统管理维护、监视和配置等业务功能；</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4）软交换平台具备终端注册、呼叫控制、呼叫选路、会话资源管理、媒体控制、语音会议管理等功能；</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5）可通过SIP中继接入PSTN，具备来电显示功能,可以配置环路中继、数字中继等接入；</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2" w:type="dxa"/>
            <w:vAlign w:val="center"/>
            <w:vMerge w:val="continue"/>
            <w:textDirection w:val="lrTb"/>
            <w:noWrap w:val="false"/>
          </w:tcPr>
          <w:p>
            <w:pPr>
              <w:pStyle w:val="883"/>
              <w:jc w:val="left"/>
              <w:widowControl/>
              <w:rPr>
                <w:rFonts w:ascii="宋体" w:hAnsi="宋体" w:cs="宋体"/>
                <w:color w:val="000000"/>
                <w:sz w:val="20"/>
                <w:szCs w:val="20"/>
              </w:rPr>
            </w:pPr>
            <w:r>
              <w:rPr>
                <w:rFonts w:ascii="宋体" w:hAnsi="宋体" w:cs="宋体"/>
                <w:color w:val="000000"/>
                <w:sz w:val="20"/>
                <w:szCs w:val="20"/>
              </w:rPr>
            </w:r>
            <w:r/>
          </w:p>
        </w:tc>
      </w:tr>
      <w:tr>
        <w:trPr>
          <w:trHeight w:val="960"/>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E1S 数字中继接口板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top"/>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1）提供4数字中继接口，内置于ATCA标准机框的任何NODE槽位；</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2）E1接口满足ITU-T G.703, G.704, G.706, G.823, G.732等规范；</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3）提供全面标准的信令系统，支持随路信令（CAS）和公共信道信令（CCS）；</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4）支持中国7号信令、1号信令、ISDN-PRI DSS1信令、Q.SIG信令，软件可以定义信令协议接口，网管配置功能；</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2" w:type="dxa"/>
            <w:vAlign w:val="center"/>
            <w:vMerge w:val="continue"/>
            <w:textDirection w:val="lrTb"/>
            <w:noWrap w:val="false"/>
          </w:tcPr>
          <w:p>
            <w:pPr>
              <w:pStyle w:val="883"/>
              <w:jc w:val="left"/>
              <w:widowControl/>
              <w:rPr>
                <w:rFonts w:ascii="宋体" w:hAnsi="宋体" w:cs="宋体"/>
                <w:color w:val="000000"/>
                <w:sz w:val="20"/>
                <w:szCs w:val="20"/>
              </w:rPr>
            </w:pPr>
            <w:r>
              <w:rPr>
                <w:rFonts w:ascii="宋体" w:hAnsi="宋体" w:cs="宋体"/>
                <w:color w:val="000000"/>
                <w:sz w:val="20"/>
                <w:szCs w:val="20"/>
              </w:rPr>
            </w:r>
            <w:r/>
          </w:p>
        </w:tc>
      </w:tr>
      <w:tr>
        <w:trPr>
          <w:trHeight w:val="845"/>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AIB模拟接口板</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top"/>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1)32路模拟话机接口板，内置于ATCA标准机框的任何NODE槽位；</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2）支持SIP协议和MGCP协议，呼叫控制满足： SIP/UDP和SIP/TCP（RFC3261）、IMS平台（3GPP）、MGCP（RFC3435）；</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3）语音编解码：G.711、G.729A/B、G.723.1；</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4）来电显示（Bellcore/Telcordia、ETSI、BT、DTMF）、呼叫转接、呼叫转移、呼叫安全加密（HTTPS、SSH、TLS、SRTP)；</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2" w:type="dxa"/>
            <w:vAlign w:val="center"/>
            <w:vMerge w:val="continue"/>
            <w:textDirection w:val="lrTb"/>
            <w:noWrap w:val="false"/>
          </w:tcPr>
          <w:p>
            <w:pPr>
              <w:pStyle w:val="883"/>
              <w:jc w:val="left"/>
              <w:widowControl/>
              <w:rPr>
                <w:rFonts w:ascii="宋体" w:hAnsi="宋体" w:cs="宋体"/>
                <w:color w:val="000000"/>
                <w:sz w:val="20"/>
                <w:szCs w:val="20"/>
              </w:rPr>
            </w:pPr>
            <w:r>
              <w:rPr>
                <w:rFonts w:ascii="宋体" w:hAnsi="宋体" w:cs="宋体"/>
                <w:color w:val="000000"/>
                <w:sz w:val="20"/>
                <w:szCs w:val="20"/>
              </w:rPr>
            </w:r>
            <w:r/>
          </w:p>
        </w:tc>
      </w:tr>
      <w:tr>
        <w:trPr>
          <w:trHeight w:val="996"/>
        </w:trPr>
        <w:tc>
          <w:tcPr>
            <w:tcBorders>
              <w:top w:val="none" w:color="000000" w:sz="4" w:space="0"/>
              <w:left w:val="single" w:color="000000" w:sz="4" w:space="0"/>
              <w:bottom w:val="single" w:color="000000" w:sz="4" w:space="0"/>
              <w:right w:val="single" w:color="000000" w:sz="4" w:space="0"/>
            </w:tcBorders>
            <w:tcW w:w="361"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pStyle w:val="883"/>
              <w:jc w:val="center"/>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配套数字排队调度控制软件</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（1套）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883"/>
              <w:jc w:val="lef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1)支持环路中继网关、模拟电话网关、数字中继网关、无线网关接入。支持G.711 A律/</w:t>
            </w:r>
            <w:r>
              <w:rPr>
                <w:rFonts w:ascii="Calibri" w:hAnsi="Calibri" w:cs="Calibri"/>
                <w:color w:val="000000" w:themeColor="text1"/>
                <w:sz w:val="20"/>
                <w:szCs w:val="20"/>
                <w:highlight w:val="none"/>
              </w:rPr>
              <w:t xml:space="preserve">μ</w:t>
            </w:r>
            <w:r>
              <w:rPr>
                <w:rFonts w:hint="eastAsia" w:ascii="宋体" w:hAnsi="宋体" w:cs="宋体"/>
                <w:color w:val="000000" w:themeColor="text1"/>
                <w:sz w:val="20"/>
                <w:szCs w:val="20"/>
                <w:highlight w:val="none"/>
              </w:rPr>
              <w:t xml:space="preserve">律、G723.1、G729等音频格式。支持H264、H265等视频格式，支持语音会议功能，系统具有冗余性，高可靠性。</w:t>
            </w:r>
            <w:r>
              <w:rPr>
                <w:rFonts w:hint="eastAsia" w:ascii="宋体" w:hAnsi="宋体" w:cs="宋体"/>
                <w:color w:val="000000" w:themeColor="text1"/>
                <w:sz w:val="20"/>
                <w:szCs w:val="20"/>
                <w:highlight w:val="none"/>
              </w:rPr>
              <w:br w:type="textWrapping" w:clear="all"/>
            </w:r>
            <w:r>
              <w:rPr>
                <w:rFonts w:hint="eastAsia" w:ascii="宋体" w:hAnsi="宋体" w:cs="宋体"/>
                <w:color w:val="000000" w:themeColor="text1"/>
                <w:sz w:val="20"/>
                <w:szCs w:val="20"/>
                <w:highlight w:val="none"/>
              </w:rPr>
              <w:t xml:space="preserve">2）具有IP语音排队功能。支持音频调度、视频调度功能。支持提供语音、视频呼叫、免打扰、强插、强拆、一号通、一机多号、黑白名单限呼、呼出限制、群呼组等功能。</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362" w:type="dxa"/>
            <w:vAlign w:val="center"/>
            <w:vMerge w:val="continue"/>
            <w:textDirection w:val="lrTb"/>
            <w:noWrap w:val="false"/>
          </w:tcPr>
          <w:p>
            <w:pPr>
              <w:pStyle w:val="883"/>
              <w:jc w:val="left"/>
              <w:widowControl/>
              <w:rPr>
                <w:rFonts w:ascii="宋体" w:hAnsi="宋体" w:cs="宋体"/>
                <w:color w:val="000000"/>
                <w:sz w:val="20"/>
                <w:szCs w:val="20"/>
              </w:rPr>
            </w:pPr>
            <w:r>
              <w:rPr>
                <w:rFonts w:ascii="宋体" w:hAnsi="宋体" w:cs="宋体"/>
                <w:color w:val="000000"/>
                <w:sz w:val="20"/>
                <w:szCs w:val="20"/>
              </w:rPr>
            </w:r>
            <w:r/>
          </w:p>
        </w:tc>
      </w:tr>
    </w:tbl>
    <w:p>
      <w:pPr>
        <w:pStyle w:val="883"/>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8"/>
        <w:rPr>
          <w:color w:val="000000" w:themeColor="text1"/>
          <w:highlight w:val="none"/>
        </w:rPr>
      </w:pPr>
      <w:r>
        <w:rPr>
          <w:rFonts w:hint="eastAsia"/>
          <w:color w:val="000000" w:themeColor="text1"/>
          <w:highlight w:val="none"/>
        </w:rPr>
        <w:t xml:space="preserve">国产化录制服务器1台</w:t>
      </w:r>
      <w:r>
        <w:rPr>
          <w:color w:val="000000" w:themeColor="text1"/>
          <w:highlight w:val="none"/>
        </w:rPr>
      </w:r>
      <w:r/>
    </w:p>
    <w:tbl>
      <w:tblPr>
        <w:tblW w:w="0" w:type="auto"/>
        <w:tblInd w:w="10" w:type="dxa"/>
        <w:tblLayout w:type="autofit"/>
        <w:tblCellMar>
          <w:left w:w="108" w:type="dxa"/>
          <w:top w:w="0" w:type="dxa"/>
          <w:right w:w="108" w:type="dxa"/>
          <w:bottom w:w="0" w:type="dxa"/>
        </w:tblCellMar>
        <w:tblLook w:val="04A0" w:firstRow="1" w:lastRow="0" w:firstColumn="1" w:lastColumn="0" w:noHBand="0" w:noVBand="1"/>
      </w:tblPr>
      <w:tblGrid>
        <w:gridCol w:w="559"/>
        <w:gridCol w:w="852"/>
        <w:gridCol w:w="849"/>
        <w:gridCol w:w="1247"/>
        <w:gridCol w:w="5322"/>
        <w:gridCol w:w="222"/>
      </w:tblGrid>
      <w:tr>
        <w:trPr>
          <w:gridAfter w:val="1"/>
          <w:trHeight w:val="636"/>
        </w:trPr>
        <w:tc>
          <w:tcPr>
            <w:tcBorders>
              <w:top w:val="single" w:color="000000" w:sz="8"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指标分类</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一级指标</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1247"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二级指标</w:t>
            </w:r>
            <w:r>
              <w:rPr>
                <w:color w:val="000000" w:themeColor="text1"/>
                <w:highlight w:val="none"/>
              </w:rPr>
            </w:r>
            <w:r/>
          </w:p>
        </w:tc>
        <w:tc>
          <w:tcPr>
            <w:shd w:val="clear" w:color="000000" w:fill="ffffff"/>
            <w:tcBorders>
              <w:top w:val="single" w:color="000000" w:sz="8" w:space="0"/>
              <w:left w:val="none" w:color="000000" w:sz="4" w:space="0"/>
              <w:bottom w:val="single" w:color="000000" w:sz="8" w:space="0"/>
              <w:right w:val="single" w:color="000000" w:sz="8" w:space="0"/>
            </w:tcBorders>
            <w:tcW w:w="532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指标要求</w:t>
            </w:r>
            <w:r>
              <w:rPr>
                <w:color w:val="000000" w:themeColor="text1"/>
                <w:highlight w:val="none"/>
              </w:rPr>
            </w:r>
            <w:r/>
          </w:p>
        </w:tc>
      </w:tr>
      <w:tr>
        <w:trPr>
          <w:gridAfter w:val="1"/>
          <w:trHeight w:val="1260"/>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 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*CPU信息</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配置2颗鲲鹏处理器，核数≥32个物理核/颗,主频≥2.6GHz，（基准频率，非动态加速频率），末级缓存容量32MB，非超线程数，功耗115w,最高速率≥2933MHz,内存通道为4通道，位宽64位</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*主板支持的CPU和内存情况</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支持2颗鲲鹏系列CPU，主板最大支持DDR4内存32根</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*主板内存槽数量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非板载内存的可扩展插槽数量≥16个</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*主板存储接口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支持SATA、SAS、NVMe（M.2、U.2）等存储接口之一</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*PCIe插槽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符合PCIe3.0或以上高速串行计算机扩展总线标准，PCIe的接口速率与位宽向下兼容</w:t>
            </w:r>
            <w:r>
              <w:rPr>
                <w:color w:val="000000" w:themeColor="text1"/>
                <w:highlight w:val="none"/>
              </w:rPr>
            </w:r>
            <w:r/>
          </w:p>
        </w:tc>
      </w:tr>
      <w:tr>
        <w:trPr>
          <w:gridAfter w:val="1"/>
          <w:trHeight w:val="660"/>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接口</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53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*主板PCIe 插槽数量及规格</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最少支持4个PCIe 3.0 </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特殊孔位及接口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板载网络接口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板载网络接口≥2个1GE网口</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主板OCP插槽数量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支持OCP2.0及以上插槽的数量≥1个</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*内存规格</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≥2根</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highlight w:val="yellow"/>
              </w:rPr>
            </w:pPr>
            <w:r>
              <w:rPr>
                <w:rFonts w:hint="eastAsia" w:ascii="宋体" w:hAnsi="宋体" w:cs="宋体"/>
                <w:color w:val="000000"/>
                <w:sz w:val="22"/>
                <w:szCs w:val="22"/>
                <w:highlight w:val="yellow"/>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*内存规格</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DDR4 32GB</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highlight w:val="yellow"/>
              </w:rPr>
            </w:pPr>
            <w:r>
              <w:rPr>
                <w:rFonts w:hint="eastAsia" w:ascii="宋体" w:hAnsi="宋体" w:cs="宋体"/>
                <w:color w:val="000000"/>
                <w:sz w:val="22"/>
                <w:szCs w:val="22"/>
                <w:highlight w:val="yellow"/>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*内存通道</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支持4个内存接口通道，每个通道可支持2DPC，印制电路板上应具备插槽的序号标识</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*存储规格</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硬盘类型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支持SATA、SAS、SSD等硬盘</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*硬磁盘实配容量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配置4*16T  7.2K  SATA，2*480GB  SAS</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硬盘接口类型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配备硬磁盘，应提供SATA接口和SAS接口</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*硬盘实配数量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配置4*16T  7.2K  SATA，2*480GB  SAS</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17</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*硬盘插槽数量及规格</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配置的硬盘尺寸为3.5英寸或2.5寸硬磁盘；</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服务器可支持的硬盘数量应不少于8块。</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硬盘其他参数要求</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机械硬盘准备时间应小于30s；侧面固定螺丝孔数量可为4孔或6孔；工作状态环境温度应满足5℃~55℃，其它参数符合GB/T12628 的相关规定；</w:t>
            </w:r>
            <w:r>
              <w:rPr>
                <w:color w:val="000000" w:themeColor="text1"/>
                <w:highlight w:val="none"/>
              </w:rPr>
            </w:r>
            <w:r/>
          </w:p>
        </w:tc>
      </w:tr>
      <w:tr>
        <w:trPr>
          <w:gridAfter w:val="1"/>
          <w:trHeight w:val="1572"/>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 卡规格（若支持 RAID 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RAID卡支持的SAS接口数</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 标卡 9460-8i-2G-PCIe</w:t>
            </w:r>
            <w:r>
              <w:rPr>
                <w:color w:val="000000" w:themeColor="text1"/>
                <w:highlight w:val="none"/>
              </w:rPr>
            </w:r>
            <w:r/>
          </w:p>
        </w:tc>
      </w:tr>
      <w:tr>
        <w:trPr>
          <w:gridAfter w:val="1"/>
          <w:trHeight w:val="1572"/>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SAS直通卡规格 (若支持SAS 直通卡)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SAS直通卡SAS接口数量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1260"/>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HBA卡规格 (若支持HBA 直通卡)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HBA卡端口数量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*网络规格</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*网口速率和数量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配备万兆网口数量≥2个，且网口速率不少于10GE（含万兆光模块）</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存储型服务器网口速率和数量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独立网卡网口数量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独立网卡接口类型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板载网卡接口类型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支持RJ45</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*外部接口规格</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*显示接口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显示接口类型为VGA</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*USB接口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配备≥4*USB接口USB2.0</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特殊接口及孔位</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其他接口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串口数量1个</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*电源规格</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电源冗余模式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整机电源模块按1+1冗余配置</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*电源模块数量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2个</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电源模块功率应有一定冗余，满足处理器满载时的需求，配置≥2个900W交流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电源指示灯</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配备电源指示灯，指示待机、工作异常等状态</w:t>
            </w:r>
            <w:r>
              <w:rPr>
                <w:color w:val="000000" w:themeColor="text1"/>
                <w:highlight w:val="none"/>
              </w:rPr>
            </w:r>
            <w:r/>
          </w:p>
        </w:tc>
      </w:tr>
      <w:tr>
        <w:trPr>
          <w:gridAfter w:val="1"/>
          <w:trHeight w:val="936"/>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35</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*整机规格</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*外观和结构</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a)服务器的零部件应紧固无松动，可插拔部件应可靠连接，开关、按钮和其它控制部件应灵活可靠，布局应方便使用；</w:t>
            </w:r>
            <w:r>
              <w:rPr>
                <w:color w:val="000000" w:themeColor="text1"/>
                <w:highlight w:val="none"/>
              </w:rPr>
            </w:r>
            <w:r/>
          </w:p>
        </w:tc>
      </w:tr>
      <w:tr>
        <w:trPr>
          <w:gridAfter w:val="1"/>
          <w:trHeight w:val="936"/>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产品表面不应有明显的凹痕、划伤、裂缝、变形和污染等。表面涂层均匀，不应起泡、龟裂、脱落和磨损，金属零部件无锈蚀及其它机械损伤；</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产品表面说明功能的文字、符号和标志应清晰、端正且牢固；</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*尺寸（高×宽×深）</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符合设计应遵循标准化、系列化的要求；机箱的内部结构符合通用部件的安装需要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服务器导轨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导轨尺寸、安装方式等信息</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CPU个数与机柜高度单位(U) 比</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2（CPU）：2（U高度）</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*环境适应性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气候环境适应性应符合GB/T9813.3的有关规定，工作温度10～ 35℃，贮存运输温度-40～55℃；工作相对湿度35%～80%，贮存运输相对湿度20％～93%；</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特殊机型环境适应性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*机械环境适应性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*噪声</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AI计算单元规格</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AI计算单元</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一键式迁移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机柜规格</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*机柜尺寸</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机柜管理板</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机柜电源规格</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*主板功能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*主板外部接口种类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支持USB、显示、管理等接口，如：VGA、USB3.0、BMC管理端口</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主板防烧板设计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支持主板防烧板设计，保证电源故障后不扩散</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扩展功能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实现至少一种扩展功能，如存储功能卡、显示功能卡、运算加速功能卡及网络功能卡等扩展功能</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支持网络连接、网络访问、数据交换和网络管控功能</w:t>
            </w:r>
            <w:r>
              <w:rPr>
                <w:color w:val="000000" w:themeColor="text1"/>
                <w:highlight w:val="none"/>
              </w:rPr>
            </w:r>
            <w:r/>
          </w:p>
        </w:tc>
      </w:tr>
      <w:tr>
        <w:trPr>
          <w:gridAfter w:val="1"/>
          <w:trHeight w:val="1260"/>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 功能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*计算处理</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支持通用计算及虚拟化功能。处理器需集成整型计算单元、浮点计算单元、内存控制器、I/O模块等，处理器与存储部件、网络部件、I/O 部件等组成计算系统，提供数据处理、网络接入等计算相关功能</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*密码算法实现</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CPU芯片应符合GM/T0008的相关规定，或芯片密码模块应符合GB/T37092或GM/T 0028的相关规定</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存储功能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内存校验</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支持内存校验或内存增强型纠错功能</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SATA SSD NAND健康状态上报</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支持关键外部存储器（硬磁盘、SSD 等）的健康状态上报并进行故障诊断</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SATA SSD 单die故障隔离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1572"/>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 卡功能（若支持 RAID 卡）</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 RAID级别支持</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RAID模式支持RAID0,1,5,6,10,50,60</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58</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RAID卡支持电池或电容备份单元</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BBU单元</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光驱功能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光驱类型（是否支持RW，以及光盘类型CD/DVD）</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*电源功能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*电源热插拔</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整机电源模块应具备热插拔功能</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*电源过流保护</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支持过流及短路保护的功能</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*整机功能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*散热方式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支持风冷散热方式</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其他功能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64</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single" w:color="000000" w:sz="8"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*管理系统功能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*BMC固件基础功能</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1)支持DHCP设置网络功能；</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2)支持静态IP设置网络功能；</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3)支持设备日志记录，包括但不限于登录日志、操作日志和报警日志等功能；</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4)支持日志信息导出和记录删除功能；</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5)支持通过管理接口向外输出准确的报警信息功能；</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6)设备的BMC管理软件应能够按报警的严重程度进行区分；</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7)支持IPMI2.0、SNMP或Redfish 等接口功能；</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8)支持键盘、鼠标和视频的重定向、文本控制台的重定向、远程虚拟媒体、高可靠的硬件监控和管理功能；</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9)支持基于网络开启、关闭和重启设备的功能，并查询当前设备开机运行状态；</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10)支持故障提示功能，并可通过接口读取服务器故障信息；</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BMC固件增强功能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*BIOS固件基础功能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*远程控制</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支持远程关机和重新启动功能</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*操作系统及驱动功能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*操作系统及驱动的升级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支持通过网络、闪存盘对操作系统、驱动进行升级</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操作系统及驱动的备份还原</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*操作系统功能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支持访问控制、安全审计、网络接入鉴别等功能； b) 操作系统其他功能满足操作系统政府采购需求</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*中文信息处理功能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*中文信息处理</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符合GB 18030的有关规定</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机柜功能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机柜管理功能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机柜通信方式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多集群作业管理</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*关键部件安全要求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*关键部件安全要求</w:t>
            </w:r>
            <w:r>
              <w:rPr>
                <w:rFonts w:hint="eastAsia" w:ascii="宋体" w:hAnsi="宋体" w:cs="宋体"/>
                <w:color w:val="000000" w:themeColor="text1"/>
                <w:sz w:val="22"/>
                <w:szCs w:val="22"/>
                <w:highlight w:val="none"/>
                <w:vertAlign w:val="superscript"/>
              </w:rPr>
              <w:t xml:space="preserve">3</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CPU和操作系统等关键部件应当符合安全可靠测评要求</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*固件安全要求</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*故障检测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支持故障检测功能，可以检测到具体的FRU（内存、硬盘等）的故障并发出告警</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内存故障智能预测和自愈修复</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支持内存故障智能预测和自愈修复，提前自动硬隔离，避免内存故障引起的非预期宕机以及内存寿命的降低</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硬盘故障智能预测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支持硬盘故障智能预测，基于故障模型预测出硬盘的故障</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PCIe链路故障智能诊断</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支持PCIe链路故障智能诊断，判断出现故障的PCIe链路</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内存故障隔离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支持内存故障隔离，在内存产生CE 故障时，内存地址被隔离成功，服务器正常运行，业务系统不中断</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内存、PCIe 卡的故障精准告警功能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支持内存、PCIe卡的故障精准告警功能，触发告警并明确指示具体的故障位置</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异常下电关键数据保护</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支持异常下电关键数据保护，支持数据备份恢复机制，防止系统异常掉电导致的数据文件丢失</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BMC/BIOS 固件双镜像保护</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支持BMC/BIOS固件双镜像保护，运行异常时自动切换到备份镜像运行，提升系统稳定性</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CPU核重启隔离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支持CPU核发生不可纠正故障后，重启后由BIOS隔离该故障核，OS 不可见，防止OS再次使用导致系统异常，核0除外</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内存地址隔离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在硬件支持的情况下，支持故障内存地址重启后隔离</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内存存储阵列替换</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在硬件支持的情况下，支持故障内存存储阵列替换</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安全启动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支持执行环境要求在整个系统启动的过程中，系统应提供一个机制来保护平台的完整性</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88</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single" w:color="000000" w:sz="8"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*系统安全要求</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syslog双</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支持系统日志双向鉴别，对服务器根证书和客户端根证书进行鉴别</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向鉴别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53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*弱口令字典检查</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支持弱口令字典检查功能，出现在弱口令字典中的字符串不能被设置为用户口令</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*白名单访问控制</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支持基于时间、IP或MAC白名单访问控制</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双因素鉴别</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支持使用客户端证书和证书密码的双因素鉴别方式登录管理系统</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*二次鉴别</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支持二次鉴别功能。对于用户配置、权限配置、公钥导入等重要的管理操作，已登录用户应通过二次鉴别后，才能执行操作</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匿名化用户告警接收邮箱</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*密码证书安全加密存储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支持对带外管理系统中的用户口令和证书等敏感信息进行加密存储，禁止使用私有的和业界已知不安全的密码算法</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*敏感信息安全加密传输</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支持使用安全的传输加密协议（如SSH或HTTPS等）传输用户的敏感信息</w:t>
            </w:r>
            <w:r>
              <w:rPr>
                <w:color w:val="000000" w:themeColor="text1"/>
                <w:highlight w:val="none"/>
              </w:rPr>
            </w:r>
            <w:r/>
          </w:p>
        </w:tc>
      </w:tr>
      <w:tr>
        <w:trPr>
          <w:gridAfter w:val="1"/>
          <w:trHeight w:val="1260"/>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*信息安全要求</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*研发过程安全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生产商已建立从需求、设计、开发、测试、维护端到端的开发流程管理机制，输出和保存开发流程中每个阶段的产品需求清单、设计文档、开发文档、测试记录等材料，保证各个流程可追溯</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漏洞管理</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生产商已建立漏洞全量视图，保证产品版本涉及到的所有漏洞(如驱动程序、BMC软件等) 都可以查看</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网络关键设备服务器要求</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作为网络关键设备的服务器应符合GB 40050的相关规定</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99</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增强要求</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嵌入物理可信根，实现设备的信任链构建；</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支持可信平台控制模块(TPCM)；</w:t>
            </w:r>
            <w:r>
              <w:rPr>
                <w:color w:val="000000" w:themeColor="text1"/>
                <w:highlight w:val="none"/>
              </w:rPr>
            </w:r>
            <w:r/>
          </w:p>
        </w:tc>
      </w:tr>
      <w:tr>
        <w:trPr>
          <w:gridAfter w:val="1"/>
          <w:trHeight w:val="936"/>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支持在固件系统（BMC、BIOS）启动前实现对固件度量的功能，支持物理可信根对BMC固件或BIOS固件进行完整性检测、更新和恢复；</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支持对CPU、网络控制器等关键处理器进行身份识别与度量的功能；</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e)</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支持基于处理器或可信计算模块度量的功能；</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f)</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所采用的可信密码模块接口应符合GM/T 0012的相关规定；</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g)</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可信安全管理模块、处理器等硬件载体应通过国家相关部门的认证和许可</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*物理安全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*物理安全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安全要求应符合GB 4943.1的规定</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*限用物质的限量要求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*限用物质的限量要求</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限用物质的限量应符合GB/T 26572 的要求</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 性能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*CPU主频</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≥2.6GHz</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*单CPU核数</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*单CPU末级缓存容量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≥32MB</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*内存性能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单内存模块容量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≥32GB</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≥2933MT/s</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存储性能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硬盘转速</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 卡性能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RAID卡缓存容量大小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9460RAID卡有缓存容量，容量2GB</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109</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FC HBA 卡性能</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FC HBA卡</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网络性能</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独立网卡速率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板载网卡速率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≥1GE</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*电源能耗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*电源能耗</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符合GB/T 9813.3的有关规定</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*部件兼容性要求</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适配3种及以上厂商的内存产品，且均不低于产品支持的内存规格</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*固态存储兼容性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适配3种或以上厂商的固态存储产品，且均不低于产品支持的固态存储设备规格</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115</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FC HBA卡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vMerge w:val="restart"/>
            <w:textDirection w:val="lrTb"/>
            <w:noWrap w:val="false"/>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53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RAID卡应适配两种或以上厂商产品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*网卡兼容性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网卡应适配两种或以上厂商产品</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*功能卡兼容性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内置或适配符合PCIe的功能卡，如：网络功能卡、存储功能卡及图形显示功能卡</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*外设兼容性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*外设兼容性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兼容多种主流生产商的外部设备，包括显示器、键盘、鼠标、闪存盘、移动硬盘、USB光驱及KVM等，要求使用不同厂商的外部设备时，系统均能正常识别和安装驱动</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*软件兼容性</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*数据库兼容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兼容3个及以上厂商的数据库产品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*中间件兼容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兼容3个及以上厂商的中间件产品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*平台软件兼容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兼容3个及以上厂商的大数据平台</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虚拟化软件兼容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兼容2款及以上虚拟化软件</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124</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存储可靠性要求</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SATA SSD</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vMerge w:val="restart"/>
            <w:textDirection w:val="lrTb"/>
            <w:noWrap w:val="false"/>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53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*整机可靠性要求</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*整机可靠性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m1值（MTBF的不可接受值）不得低于330000h</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*风扇可靠性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风扇寿命应不低于40000h</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*部件可靠性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支持硬盘、电源、风扇热插拔(内置风扇除外)</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包装及运输要求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*包装及运输要求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*标志、包装、运输和贮存</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符合GB/T 9813.3和商品包装政府采购需求标准的相关规定</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129</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*服务响应</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*服务响应</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提供电话、电子邮件、远程连接等多种形式服务；</w:t>
            </w:r>
            <w:r>
              <w:rPr>
                <w:color w:val="000000" w:themeColor="text1"/>
                <w:highlight w:val="none"/>
              </w:rPr>
            </w:r>
            <w:r/>
          </w:p>
        </w:tc>
      </w:tr>
      <w:tr>
        <w:trPr>
          <w:gridAfter w:val="1"/>
          <w:trHeight w:val="1572"/>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提供同城4h、异地12h技术响应服务，2个工作日解决问题，对于未能解决的问题和故障应提供可行的升级方案，并提供周转设备； c) 建立全国技术服务体系和服务团体，符合专业服务体系标准要求，提供原厂中文服务； d) 服务周期内提供产品的维修、换件和升级服务</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*培训服务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培训服务</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*服务周期</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*服务周期</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产品免费服务周期（含换件和维修）应不小于5年，提供介质保留服务不小于5年</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*服务工具要求</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*工具要求</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供应商提供设置服务器硬件、辅助操作系统安装等功能的辅助工具和管理软件。且随附软件应具有合法授权或版权</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133</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辅助工具</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vMerge w:val="restart"/>
            <w:textDirection w:val="lrTb"/>
            <w:noWrap w:val="false"/>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trHeight w:val="288"/>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53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288"/>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53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288"/>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53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5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247"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53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*驱动安装升级指引</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出厂安装的配件所需的驱动程序</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随机附开盖工具</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随服务器打包提供开机箱工具</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代码迁移工具</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性能分析工具</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跨架构平台应用兼容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*管理软件</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具备资源管理、系统管理、性能监控、健康监控、基于网络控制、报警设置功能</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636"/>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*增值服务</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*厂家升级产品软件与扩容服务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具备原厂级的部件/软件产品升级和扩容能力</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服务保障升级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*提供上门服务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具备提供上门服务的能力(质保期内免费)</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业务场景性能优化服务及整体架构升级服务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948"/>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供保要求</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49"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*供应链质量</w:t>
            </w:r>
            <w:r>
              <w:rPr>
                <w:color w:val="000000" w:themeColor="text1"/>
                <w:highlight w:val="none"/>
              </w:rPr>
            </w:r>
            <w:r/>
          </w:p>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*抗干扰性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当产品部件出现供应风险时，应通知客户并提供风险应对方案确保产品的服务保障，必要时应停止相关受影响产品的销售</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9"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供保要求</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49"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247"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*供应能力证明</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32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确保产品的部件在产品服务周期内稳定供货</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bl>
    <w:p>
      <w:pPr>
        <w:pStyle w:val="883"/>
        <w:rPr>
          <w:color w:val="000000" w:themeColor="text1"/>
          <w:highlight w:val="none"/>
        </w:rPr>
      </w:pPr>
      <w:r>
        <w:rPr>
          <w:color w:val="000000" w:themeColor="text1"/>
          <w:highlight w:val="none"/>
        </w:rPr>
      </w:r>
      <w:r>
        <w:rPr>
          <w:color w:val="000000" w:themeColor="text1"/>
          <w:highlight w:val="none"/>
        </w:rPr>
      </w:r>
      <w:r/>
    </w:p>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8"/>
        <w:rPr>
          <w:color w:val="000000" w:themeColor="text1"/>
          <w:highlight w:val="none"/>
        </w:rPr>
      </w:pPr>
      <w:r>
        <w:rPr>
          <w:rFonts w:hint="eastAsia"/>
          <w:color w:val="000000" w:themeColor="text1"/>
          <w:highlight w:val="none"/>
        </w:rPr>
        <w:t xml:space="preserve">苹果手机视频报警应用服务器1台</w:t>
      </w:r>
      <w:r>
        <w:rPr>
          <w:color w:val="000000" w:themeColor="text1"/>
          <w:highlight w:val="none"/>
        </w:rPr>
      </w:r>
      <w:r/>
    </w:p>
    <w:tbl>
      <w:tblPr>
        <w:tblW w:w="0" w:type="auto"/>
        <w:tblInd w:w="10" w:type="dxa"/>
        <w:tblLayout w:type="autofit"/>
        <w:tblCellMar>
          <w:left w:w="108" w:type="dxa"/>
          <w:top w:w="0" w:type="dxa"/>
          <w:right w:w="108" w:type="dxa"/>
          <w:bottom w:w="0" w:type="dxa"/>
        </w:tblCellMar>
        <w:tblLook w:val="04A0" w:firstRow="1" w:lastRow="0" w:firstColumn="1" w:lastColumn="0" w:noHBand="0" w:noVBand="1"/>
      </w:tblPr>
      <w:tblGrid>
        <w:gridCol w:w="558"/>
        <w:gridCol w:w="853"/>
        <w:gridCol w:w="850"/>
        <w:gridCol w:w="1506"/>
        <w:gridCol w:w="5062"/>
        <w:gridCol w:w="222"/>
      </w:tblGrid>
      <w:tr>
        <w:trPr>
          <w:gridAfter w:val="1"/>
          <w:trHeight w:val="636"/>
        </w:trPr>
        <w:tc>
          <w:tcPr>
            <w:tcBorders>
              <w:top w:val="single" w:color="000000" w:sz="8"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指标分类</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一级指标</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1506"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二级指标</w:t>
            </w:r>
            <w:r>
              <w:rPr>
                <w:color w:val="000000" w:themeColor="text1"/>
                <w:highlight w:val="none"/>
              </w:rPr>
            </w:r>
            <w:r/>
          </w:p>
        </w:tc>
        <w:tc>
          <w:tcPr>
            <w:shd w:val="clear" w:color="000000" w:fill="ffffff"/>
            <w:tcBorders>
              <w:top w:val="single" w:color="000000" w:sz="8" w:space="0"/>
              <w:left w:val="none" w:color="000000" w:sz="4" w:space="0"/>
              <w:bottom w:val="single" w:color="000000" w:sz="8" w:space="0"/>
              <w:right w:val="single" w:color="000000" w:sz="8" w:space="0"/>
            </w:tcBorders>
            <w:tcW w:w="5062"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指标要求</w:t>
            </w:r>
            <w:r>
              <w:rPr>
                <w:color w:val="000000" w:themeColor="text1"/>
                <w:highlight w:val="none"/>
              </w:rPr>
            </w:r>
            <w:r/>
          </w:p>
        </w:tc>
      </w:tr>
      <w:tr>
        <w:trPr>
          <w:gridAfter w:val="1"/>
          <w:trHeight w:val="1260"/>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 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*CPU信息</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配置2颗鲲鹏处理器，核数≥32个物理核/颗,主频≥2.6GHz，（基准频率，非动态加速频率），末级缓存容量32MB，非超线程数，功耗115w,最高速率≥2933MHz,内存通道为4通道，位宽64位</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*主板支持的CPU和内存情况</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支持2颗鲲鹏系列CPU，主板最大支持DDR4内存32根</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*主板内存槽数量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非板载内存的可扩展插槽数量≥16个</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*主板存储接口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支持SATA、SAS、NVMe（M.2、U.2）等存储接口之一</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*PCIe插槽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符合PCIe3.0或以上高速串行计算机扩展总线标准，PCIe的接口速率与位宽向下兼容</w:t>
            </w:r>
            <w:r>
              <w:rPr>
                <w:color w:val="000000" w:themeColor="text1"/>
                <w:highlight w:val="none"/>
              </w:rPr>
            </w:r>
            <w:r/>
          </w:p>
        </w:tc>
      </w:tr>
      <w:tr>
        <w:trPr>
          <w:gridAfter w:val="1"/>
          <w:trHeight w:val="660"/>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接口</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506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*主板PCIe 插槽数量及规格</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最少支持4个PCIe 3.0 </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特殊孔位及接口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板载网络接口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板载网络接口≥2个1GE网口</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主板OCP插槽数量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支持OCP2.0及以上插槽的数量≥1个</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50" w:type="dxa"/>
            <w:vAlign w:val="center"/>
            <w:vMerge w:val="restart"/>
            <w:textDirection w:val="lrTb"/>
            <w:noWrap w:val="false"/>
          </w:tcPr>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*内存规格</w:t>
            </w:r>
            <w:r>
              <w:rPr>
                <w:color w:val="000000" w:themeColor="text1"/>
                <w:highlight w:val="none"/>
              </w:rPr>
            </w:r>
            <w:r/>
          </w:p>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≥2根</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50" w:type="dxa"/>
            <w:vAlign w:val="center"/>
            <w:vMerge w:val="continue"/>
            <w:textDirection w:val="lrTb"/>
            <w:noWrap w:val="false"/>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*内存规格</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DDR4 32GB</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50"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*内存通道</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支持4个内存接口通道，每个通道可支持2DPC，印制电路板上应具备插槽的序号标识</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none" w:color="000000" w:sz="0" w:space="0"/>
              <w:right w:val="single" w:color="000000" w:sz="8" w:space="0"/>
            </w:tcBorders>
            <w:tcW w:w="850" w:type="dxa"/>
            <w:vAlign w:val="center"/>
            <w:vMerge w:val="restart"/>
            <w:textDirection w:val="lrTb"/>
            <w:noWrap w:val="false"/>
          </w:tcPr>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*存储规格</w:t>
            </w:r>
            <w:r>
              <w:rPr>
                <w:color w:val="000000" w:themeColor="text1"/>
                <w:highlight w:val="none"/>
              </w:rPr>
            </w:r>
            <w:r/>
          </w:p>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p>
            <w:pPr>
              <w:pStyle w:val="883"/>
              <w:jc w:val="center"/>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硬盘类型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支持SATA、SAS、SSD等硬盘</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50" w:type="dxa"/>
            <w:vAlign w:val="center"/>
            <w:vMerge w:val="continue"/>
            <w:textDirection w:val="lrTb"/>
            <w:noWrap w:val="false"/>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*硬磁盘实配容量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配置2*480GB  SAS</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50" w:type="dxa"/>
            <w:vAlign w:val="center"/>
            <w:vMerge w:val="continue"/>
            <w:textDirection w:val="lrTb"/>
            <w:noWrap w:val="false"/>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硬盘接口类型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配备硬磁盘，应提供SAS接口</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none" w:color="000000" w:sz="0" w:space="0"/>
              <w:right w:val="single" w:color="000000" w:sz="8" w:space="0"/>
            </w:tcBorders>
            <w:tcW w:w="850" w:type="dxa"/>
            <w:vAlign w:val="center"/>
            <w:vMerge w:val="continue"/>
            <w:textDirection w:val="lrTb"/>
            <w:noWrap w:val="false"/>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*硬盘实配数量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配置2*480GB  SAS</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17</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*硬盘插槽数量及规格</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配置的硬盘尺寸为3.5英寸或2.5寸硬磁盘；</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0" w:space="0"/>
              <w:left w:val="single" w:color="000000" w:sz="8" w:space="0"/>
              <w:bottom w:val="none" w:color="000000" w:sz="0" w:space="0"/>
              <w:right w:val="single" w:color="000000" w:sz="8" w:space="0"/>
            </w:tcBorders>
            <w:tcW w:w="850" w:type="dxa"/>
            <w:vAlign w:val="center"/>
            <w:vMerge w:val="continue"/>
            <w:textDirection w:val="lrTb"/>
            <w:noWrap w:val="false"/>
          </w:tcPr>
          <w:p>
            <w:pPr>
              <w:pStyle w:val="883"/>
              <w:jc w:val="center"/>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服务器可支持的硬盘数量应不少于8块。</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0" w:space="0"/>
              <w:left w:val="none" w:color="000000" w:sz="4" w:space="0"/>
              <w:bottom w:val="single" w:color="000000" w:sz="8" w:space="0"/>
              <w:right w:val="single" w:color="000000" w:sz="8" w:space="0"/>
            </w:tcBorders>
            <w:tcW w:w="850" w:type="dxa"/>
            <w:vAlign w:val="center"/>
            <w:vMerge w:val="continue"/>
            <w:textDirection w:val="lrTb"/>
            <w:noWrap w:val="false"/>
          </w:tcPr>
          <w:p>
            <w:pPr>
              <w:pStyle w:val="883"/>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硬盘其他参数要求</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机械硬盘准备时间应小于30s；侧面固定螺丝孔数量可为4孔或6孔；工作状态环境温度应满足5℃~55℃，其它参数符合GB/T12628 的相关规定；</w:t>
            </w:r>
            <w:r>
              <w:rPr>
                <w:color w:val="000000" w:themeColor="text1"/>
                <w:highlight w:val="none"/>
              </w:rPr>
            </w:r>
            <w:r/>
          </w:p>
        </w:tc>
      </w:tr>
      <w:tr>
        <w:trPr>
          <w:gridAfter w:val="1"/>
          <w:trHeight w:val="1572"/>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 卡规格（若支持 RAID 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RAID卡支持的SAS接口数</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 标卡 9460-8i-2G-PCIe</w:t>
            </w:r>
            <w:r>
              <w:rPr>
                <w:color w:val="000000" w:themeColor="text1"/>
                <w:highlight w:val="none"/>
              </w:rPr>
            </w:r>
            <w:r/>
          </w:p>
        </w:tc>
      </w:tr>
      <w:tr>
        <w:trPr>
          <w:gridAfter w:val="1"/>
          <w:trHeight w:val="1572"/>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SAS直通卡规格 (若支持SAS 直通卡)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SAS直通卡SAS接口数量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1260"/>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HBA卡规格 (若支持HBA 直通卡)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HBA卡端口数量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*网口速率和数量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配备千兆网口数量2个，且网口速率不少于1GE</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存储型服务器网口速率和数量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独立网卡网口数量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独立网卡接口类型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板载网卡接口类型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支持RJ45</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*外部接口规格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*显示接口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显示接口类型为VGA</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*USB接口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配备≥4*USB接口USB2.0</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特殊接口及孔位</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其他接口</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串口数量1个</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电源冗余模式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整机电源模块按1+1冗余配置</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*电源模块数量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2个</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电源模块功率应有一定冗余，满足处理器满载时的需求，配置≥2个900W交流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电源指示灯</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配备电源指示灯，指示待机、工作异常等状态</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35</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*整机规格</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506"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*外观和结构</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a)服务器的零部件应紧固无松动，可插拔部件应可靠连接，开关、按钮和其它控制部件应灵活可靠，布局应方便使用；</w:t>
            </w:r>
            <w:r>
              <w:rPr>
                <w:color w:val="000000" w:themeColor="text1"/>
                <w:highlight w:val="none"/>
              </w:rPr>
            </w:r>
            <w:r/>
          </w:p>
        </w:tc>
      </w:tr>
      <w:tr>
        <w:trPr>
          <w:gridAfter w:val="1"/>
          <w:trHeight w:val="936"/>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产品表面不应有明显的凹痕、划伤、裂缝、变形和污染等。表面涂层均匀，不应起泡、龟裂、脱落和磨损，金属零部件无锈蚀及其它机械损伤；</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 产品表面说明功能的文字、符号和标志应清晰、端正且牢固；</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*尺寸（高×宽×深）</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符合设计应遵循标准化、系列化的要求；机箱的内部结构符合通用部件的安装需要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服务器导轨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导轨尺寸、安装方式等信息</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CPU个数与机柜高度单位(U) 比</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2（CPU）：2（U高度）</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*环境适应性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气候环境适应性应符合GB/T9813.3的有关规定，工作温度10～ 35℃，贮存运输温度-40～55℃；工作相对湿度35%～80%，贮存运输相对湿度20％～93%；</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特殊机型环境适应性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*机械环境适应性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*噪声</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AI计算单元规格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AI计算单元</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一键式迁移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*机柜尺寸</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机柜管理板</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产品规格</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机柜电源规格</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*主板外部接口种类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支持USB、显示、管理等接口，如：VGA、USB3.0、BMC管理端口</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主板防烧板设计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支持主板防烧板设计，保证电源故障后不扩散</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扩展功能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实现至少一种扩展功能，如存储功能卡、显示功能卡、运算加速功能卡及网络功能卡等扩展功能</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支持网络连接、网络访问、数据交换和网络管控功能</w:t>
            </w:r>
            <w:r>
              <w:rPr>
                <w:color w:val="000000" w:themeColor="text1"/>
                <w:highlight w:val="none"/>
              </w:rPr>
            </w:r>
            <w:r/>
          </w:p>
        </w:tc>
      </w:tr>
      <w:tr>
        <w:trPr>
          <w:gridAfter w:val="1"/>
          <w:trHeight w:val="1260"/>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 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*计算处理</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支持通用计算及虚拟化功能。处理器需集成整型计算单元、浮点计算单元、内存控制器、I/O模块等，处理器与存储部件、网络部件、I/O 部件等组成计算系统，提供数据处理、网络接入等计算相关功能</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*密码算法实现</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CPU芯片应符合GM/T0008的相关规定，或芯片密码模块应符合GB/T37092或GM/T 0028的相关规定</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内存校验</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支持内存校验或内存增强型纠错功能</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SATA SSD NAND健康状态上报</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支持关键外部存储器（硬磁盘、SSD 等）的健康状态上报并进行故障诊断</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SATA SSD 单die故障隔离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1572"/>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 卡功能（若支持 RAID 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 RAID级别支持</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RAID模式支持RAID0,1,5,6,10,50,60</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58</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RAID卡支持电池或电容备份单元</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BBU单元</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光驱功能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光驱类型（是否支持RW，以及光盘类型CD/DVD）</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*电源热插拔</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整机电源模块应具备热插拔功能</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*电源过流保护</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支持过流及短路保护的功能</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*散热方式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支持风冷散热方式</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其他功能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64</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*管理系统功能</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506"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*BMC固件基础功能</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1)支持DHCP设置网络功能；</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2)支持静态IP设置网络功能；</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3)支持设备日志记录，包括但不限于登录日志、操作日志和报警日志等功能；</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4)支持日志信息导出和记录删除功能；</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5)支持通过管理接口向外输出准确的报警信息功能；</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6)设备的BMC管理软件应能够按报警的严重程度进行区分；</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7)支持IPMI2.0、SNMP或Redfish 等接口功能；</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8)支持键盘、鼠标和视频的重定向、文本控制台的重定向、远程虚拟媒体、高可靠的硬件监控和管理功能；</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9)支持基于网络开启、关闭和重启设备的功能，并查询当前设备开机运行状态；</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10)支持故障提示功能，并可通过接口读取服务器故障信息；</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BMC固件增强功能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*BIOS固件基础功能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*远程控制</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支持远程关机和重新启动功能</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*操作系统及驱动功能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*操作系统及驱动的升级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支持通过网络、闪存盘对操作系统、驱动进行升级</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69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操作系统及驱动的备份还原</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*操作系统功能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支持访问控制、安全审计、网络接入鉴别等功能； b) 操作系统其他功能满足操作系统政府采购需求</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*中文信息处理功能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*中文信息处理</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符合GB 18030的有关规定</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机柜功能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机柜管理功能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机柜通信方式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多集群作业管理</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*关键部件安全要求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*关键部件安全要求</w:t>
            </w:r>
            <w:r>
              <w:rPr>
                <w:rFonts w:hint="eastAsia" w:ascii="宋体" w:hAnsi="宋体" w:cs="宋体"/>
                <w:color w:val="000000" w:themeColor="text1"/>
                <w:sz w:val="22"/>
                <w:szCs w:val="22"/>
                <w:highlight w:val="none"/>
                <w:vertAlign w:val="superscript"/>
              </w:rPr>
              <w:t xml:space="preserve">3</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CPU和操作系统等关键部件应当符合安全可靠测评要求</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*固件安全要求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*故障检测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支持故障检测功能，可以检测到具体的FRU（内存、硬盘等）的故障并发出告警</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内存故障智能预测和自愈修复</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支持内存故障智能预测和自愈修复，提前自动硬隔离，避免内存故障引起的非预期宕机以及内存寿命的降低</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硬盘故障智能预测</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支持硬盘故障智能预测，基于故障模型预测出硬盘的故障</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79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PCIe链路故障智能诊断</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支持PCIe链路故障智能诊断，判断出现故障的PCIe链路</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内存故障隔离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支持内存故障隔离，在内存产生CE 故障时，内存地址被隔离成功，服务器正常运行，业务系统不中断</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内存、PCIe 卡的故障精准告警功能</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支持内存、PCIe卡的故障精准告警功能，触发告警并明确指示具体的故障位置</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异常下电关键数据保护</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支持异常下电关键数据保护，支持数据备份恢复机制，防止系统异常掉电导致的数据文件丢失</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BMC/BIOS 固件双镜像保护</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支持BMC/BIOS固件双镜像保护，运行异常时自动切换到备份镜像运行，提升系统稳定性</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CPU核重启隔离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支持CPU核发生不可纠正故障后，重启后由BIOS隔离该故障核，OS 不可见，防止OS再次使用导致系统异常，核0除外</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内存地址隔离</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在硬件支持的情况下，支持故障内存地址重启后隔离</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内存存储阵列替换</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在硬件支持的情况下，支持故障内存存储阵列替换</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安全启动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支持执行环境要求在整个系统启动的过程中，系统应提供一个机制来保护平台的完整性</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88</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*系统安全要求</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syslog双</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支持系统日志双向鉴别，对服务器根证书和客户端根证书进行鉴别</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向鉴别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506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89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*弱口令字典检查</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支持弱口令字典检查功能，出现在弱口令字典中的字符串不能被设置为用户口令</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*白名单访问控制</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支持基于时间、IP或MAC白名单访问控制</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双因素鉴别</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支持使用客户端证书和证书密码的双因素鉴别方式登录管理系统</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*二次鉴别</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支持二次鉴别功能。对于用户配置、权限配置、公钥导入等重要的管理操作，已登录用户应通过二次鉴别后，才能执行操作</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匿名化用户告警接收邮箱</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*密码证书安全加密存储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支持对带外管理系统中的用户口令和证书等敏感信息进行加密存储，禁止使用私有的和业界已知不安全的密码算法</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*敏感信息安全加密传输</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支持使用安全的传输加密协议（如SSH或HTTPS等）传输用户的敏感信息</w:t>
            </w:r>
            <w:r>
              <w:rPr>
                <w:color w:val="000000" w:themeColor="text1"/>
                <w:highlight w:val="none"/>
              </w:rPr>
            </w:r>
            <w:r/>
          </w:p>
        </w:tc>
      </w:tr>
      <w:tr>
        <w:trPr>
          <w:gridAfter w:val="1"/>
          <w:trHeight w:val="1260"/>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*信息安全要求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*研发过程安全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生产商已建立从需求、设计、开发、测试、维护端到端的开发流程管理机制，输出和保存开发流程中每个阶段的产品需求清单、设计文档、开发文档、测试记录等材料，保证各个流程可追溯</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漏洞管理</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生产商已建立漏洞全量视图，保证产品版本涉及到的所有漏洞(如驱动程序、BMC软件等) 都可以查看</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网络关键设备服务器要求</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作为网络关键设备的服务器应符合GB 40050的相关规定</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99</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506"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增强要求</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嵌入物理可信根，实现设备的信任链构建；</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支持可信平台控制模块(TPCM)；</w:t>
            </w:r>
            <w:r>
              <w:rPr>
                <w:color w:val="000000" w:themeColor="text1"/>
                <w:highlight w:val="none"/>
              </w:rPr>
            </w:r>
            <w:r/>
          </w:p>
        </w:tc>
      </w:tr>
      <w:tr>
        <w:trPr>
          <w:gridAfter w:val="1"/>
          <w:trHeight w:val="936"/>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支持在固件系统（BMC、BIOS）启动前实现对固件度量的功能，支持物理可信根对BMC固件或BIOS固件进行完整性检测、更新和恢复；</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d)</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支持对CPU、网络控制器等关键处理器进行身份识别与度量的功能；</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e)</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支持基于处理器或可信计算模块度量的功能；</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f)</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所采用的可信密码模块接口应符合GM/T 0012的相关规定；</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g)</w:t>
            </w:r>
            <w:r>
              <w:rPr>
                <w:rFonts w:ascii="宋体" w:hAnsi="宋体"/>
                <w:color w:val="000000" w:themeColor="text1"/>
                <w:sz w:val="22"/>
                <w:szCs w:val="22"/>
                <w:highlight w:val="none"/>
              </w:rPr>
              <w:t xml:space="preserve">    </w:t>
            </w:r>
            <w:r>
              <w:rPr>
                <w:rFonts w:hint="eastAsia" w:ascii="宋体" w:hAnsi="宋体" w:cs="宋体"/>
                <w:color w:val="000000" w:themeColor="text1"/>
                <w:sz w:val="22"/>
                <w:szCs w:val="22"/>
                <w:highlight w:val="none"/>
              </w:rPr>
              <w:t xml:space="preserve">可信安全管理模块、处理器等硬件载体应通过国家相关部门的认证和许可</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*物理安全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*物理安全</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安全要求应符合GB 4943.1的规定</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安全要求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*限用物质的限量要求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*限用物质的限量要求</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限用物质的限量应符合GB/T 26572 的要求</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 性能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*CPU主频</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≥2.6GHz</w:t>
            </w:r>
            <w:r>
              <w:rPr>
                <w:color w:val="000000" w:themeColor="text1"/>
                <w:highlight w:val="none"/>
              </w:rPr>
            </w:r>
            <w:r/>
          </w:p>
        </w:tc>
      </w:tr>
      <w:tr>
        <w:trPr>
          <w:gridAfter w:val="1"/>
          <w:trHeight w:val="642"/>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*单CPU核数</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*单CPU末级缓存容量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≥32MB</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*内存性能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单内存模块容量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≥32GB</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≥2933MT/s</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存储性能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硬盘转速</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 卡性能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RAID卡缓存容量大小</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9460RAID卡有缓存容量，容量2GB</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109</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FC HBA 卡性能</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FC HBA卡</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网络性能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独立网卡速率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板载网卡速率</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≥1GE</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*电源能耗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*电源能耗</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符合GB/T 9813.3的有关规定</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*部件兼容性要求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*内存兼容性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适配3种及以上厂商的内存产品，且均不低于产品支持的内存规格</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*固态存储兼容性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适配3种或以上厂商的固态存储产品，且均不低于产品支持的固态存储设备规格</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115</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FC HBA卡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vMerge w:val="restart"/>
            <w:textDirection w:val="lrTb"/>
            <w:noWrap w:val="false"/>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506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RAID卡应适配两种或以上厂商产品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*网卡兼容性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网卡应适配两种或以上厂商产品</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*功能卡兼容性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内置或适配符合PCIe的功能卡，如：网络功能卡、存储功能卡及图形显示功能卡</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119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*外设兼容性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*外设兼容性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兼容多种主流生产商的外部设备，包括显示器、键盘、鼠标、闪存盘、移动硬盘、USB光驱及KVM等，要求使用不同厂商的外部设备时，系统均能正常识别和安装驱动</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*软件兼容性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*数据库兼容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兼容3个及以上厂商的数据库产品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*中间件兼容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兼容3个及以上厂商的中间件产品</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*平台软件兼容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兼容3个及以上厂商的大数据平台</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虚拟化软件兼容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兼容2款及以上虚拟化软件</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124</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存储可靠性要求</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SATA SSD</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vMerge w:val="restart"/>
            <w:textDirection w:val="lrTb"/>
            <w:noWrap w:val="false"/>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506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*整机可靠性要求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*整机可靠性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m1值（MTBF的不可接受值）不得低于330000h</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*风扇可靠性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风扇寿命应不低于40000h</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可靠性要求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*部件可靠性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支持硬盘、电源、风扇热插拔(内置风扇除外)</w:t>
            </w:r>
            <w:r>
              <w:rPr>
                <w:color w:val="000000" w:themeColor="text1"/>
                <w:highlight w:val="none"/>
              </w:rPr>
            </w:r>
            <w:r/>
          </w:p>
        </w:tc>
      </w:tr>
      <w:tr>
        <w:trPr>
          <w:gridAfter w:val="1"/>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包装及运输要求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*包装及运输要求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*标志、包装、运输和贮存</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符合GB/T 9813.3和商品包装政府采购需求标准的相关规定</w:t>
            </w:r>
            <w:r>
              <w:rPr>
                <w:color w:val="000000" w:themeColor="text1"/>
                <w:highlight w:val="none"/>
              </w:rPr>
            </w:r>
            <w:r/>
          </w:p>
        </w:tc>
      </w:tr>
      <w:tr>
        <w:trPr>
          <w:gridAfter w:val="1"/>
          <w:trHeight w:val="624"/>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129</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*服务响应</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506"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*服务响应</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提供电话、电子邮件、远程连接等多种形式服务；</w:t>
            </w:r>
            <w:r>
              <w:rPr>
                <w:color w:val="000000" w:themeColor="text1"/>
                <w:highlight w:val="none"/>
              </w:rPr>
            </w:r>
            <w:r/>
          </w:p>
        </w:tc>
      </w:tr>
      <w:tr>
        <w:trPr>
          <w:gridAfter w:val="1"/>
          <w:trHeight w:val="1572"/>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b)    提供同城4h、异地12h技术响应服务，2个工作日解决问题，对于未能解决的问题和故障应提供可行的升级方案，并提供周转设备； c) 建立全国技术服务体系和服务团体，符合专业服务体系标准要求，提供原厂中文服务； d) 服务周期内提供产品的维修、换件和升级服务</w:t>
            </w:r>
            <w:r>
              <w:rPr>
                <w:color w:val="000000" w:themeColor="text1"/>
                <w:highlight w:val="none"/>
              </w:rPr>
            </w:r>
            <w:r/>
          </w:p>
        </w:tc>
      </w:tr>
      <w:tr>
        <w:trPr>
          <w:gridAfter w:val="1"/>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*培训服务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培训服务</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*服务周期</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*服务周期</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 产品免费服务周期（含换件和维修）应不小于5年，提供介质保留服务不小于5年</w:t>
            </w:r>
            <w:r>
              <w:rPr>
                <w:color w:val="000000" w:themeColor="text1"/>
                <w:highlight w:val="none"/>
              </w:rPr>
            </w:r>
            <w:r/>
          </w:p>
        </w:tc>
      </w:tr>
      <w:tr>
        <w:trPr>
          <w:gridAfter w:val="1"/>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*服务工具要求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*工具要求</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供应商提供设置服务器硬件、辅助操作系统安装等功能的辅助工具和管理软件。且随附软件应具有合法授权或版权</w:t>
            </w:r>
            <w:r>
              <w:rPr>
                <w:color w:val="000000" w:themeColor="text1"/>
                <w:highlight w:val="none"/>
              </w:rPr>
            </w:r>
            <w:r/>
          </w:p>
        </w:tc>
      </w:tr>
      <w:tr>
        <w:trPr>
          <w:gridAfter w:val="1"/>
          <w:trHeight w:val="312"/>
        </w:trPr>
        <w:tc>
          <w:tcPr>
            <w:tcBorders>
              <w:top w:val="none" w:color="000000" w:sz="4" w:space="0"/>
              <w:left w:val="single" w:color="000000" w:sz="8" w:space="0"/>
              <w:bottom w:val="single" w:color="000000" w:sz="8" w:space="0"/>
              <w:right w:val="single" w:color="000000" w:sz="8" w:space="0"/>
            </w:tcBorders>
            <w:tcW w:w="558"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133</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3"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single" w:color="000000" w:sz="8" w:space="0"/>
              <w:bottom w:val="single" w:color="000000" w:sz="8" w:space="0"/>
              <w:right w:val="single" w:color="000000" w:sz="8" w:space="0"/>
            </w:tcBorders>
            <w:tcW w:w="1506" w:type="dxa"/>
            <w:vAlign w:val="center"/>
            <w:vMerge w:val="restart"/>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辅助工具</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vMerge w:val="restart"/>
            <w:textDirection w:val="lrTb"/>
            <w:noWrap w:val="false"/>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r>
      <w:tr>
        <w:trPr>
          <w:trHeight w:val="288"/>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506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r/>
          </w:p>
        </w:tc>
      </w:tr>
      <w:tr>
        <w:trPr>
          <w:trHeight w:val="288"/>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506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288"/>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506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558"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3"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single" w:color="000000" w:sz="8" w:space="0"/>
              <w:bottom w:val="single" w:color="000000" w:sz="8" w:space="0"/>
              <w:right w:val="single" w:color="000000" w:sz="8" w:space="0"/>
            </w:tcBorders>
            <w:tcW w:w="1506"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506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222" w:type="dxa"/>
            <w:vAlign w:val="center"/>
            <w:textDirection w:val="lrTb"/>
            <w:noWrap/>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*驱动安装升级指引</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出厂安装的配件所需的驱动程序</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随机附开盖工具</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随服务器打包提供开机箱工具</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代码迁移工具</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性能分析工具</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跨架构平台应用兼容</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139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*管理软件</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具备资源管理、系统管理、性能监控、健康监控、基于网络控制、报警设置功能</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636"/>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*增值服务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*厂家升级产品软件与扩容服务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具备原厂级的部件/软件产品升级和扩容能力</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服务保障升级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*提供上门服务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具备提供上门服务的能力(质保期内免费)</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服务要求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业务场景性能优化服务及整体架构升级服务</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不涉及</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948"/>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供保要求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*供应链质量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*抗干扰性</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当产品部件出现供应风险时，应通知客户并提供风险应对方案确保产品的服务保障，必要时应停止相关受影响产品的销售</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r>
        <w:trPr>
          <w:trHeight w:val="324"/>
        </w:trPr>
        <w:tc>
          <w:tcPr>
            <w:tcBorders>
              <w:top w:val="none" w:color="000000" w:sz="4" w:space="0"/>
              <w:left w:val="single" w:color="000000" w:sz="8" w:space="0"/>
              <w:bottom w:val="single" w:color="000000" w:sz="8" w:space="0"/>
              <w:right w:val="single" w:color="000000" w:sz="8" w:space="0"/>
            </w:tcBorders>
            <w:tcW w:w="558"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145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3"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供保要求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1506"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*供应能力证明</w:t>
            </w:r>
            <w:r>
              <w:rPr>
                <w:color w:val="000000" w:themeColor="text1"/>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062" w:type="dxa"/>
            <w:vAlign w:val="center"/>
            <w:textDirection w:val="lrTb"/>
            <w:noWrap w:val="false"/>
          </w:tcPr>
          <w:p>
            <w:pPr>
              <w:pStyle w:val="883"/>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确保产品的部件在产品服务周期内稳定供货</w:t>
            </w:r>
            <w:r>
              <w:rPr>
                <w:color w:val="000000" w:themeColor="text1"/>
                <w:highlight w:val="none"/>
              </w:rPr>
            </w:r>
            <w:r/>
          </w:p>
        </w:tc>
        <w:tc>
          <w:tcPr>
            <w:tcBorders>
              <w:top w:val="none" w:color="000000" w:sz="0" w:space="0"/>
              <w:left w:val="none" w:color="000000" w:sz="0" w:space="0"/>
              <w:bottom w:val="none" w:color="000000" w:sz="0" w:space="0"/>
              <w:right w:val="none" w:color="000000" w:sz="0" w:space="0"/>
            </w:tcBorders>
            <w:tcW w:w="222" w:type="dxa"/>
            <w:vAlign w:val="center"/>
            <w:textDirection w:val="lrTb"/>
            <w:noWrap w:val="false"/>
          </w:tcPr>
          <w:p>
            <w:pPr>
              <w:pStyle w:val="883"/>
              <w:jc w:val="left"/>
              <w:widowControl/>
              <w:rPr>
                <w:rFonts w:ascii="宋体" w:hAnsi="宋体"/>
                <w:color w:val="000000" w:themeColor="text1"/>
                <w:sz w:val="22"/>
                <w:szCs w:val="22"/>
                <w:highlight w:val="none"/>
              </w:rPr>
            </w:pPr>
            <w:r>
              <w:rPr>
                <w:rFonts w:ascii="宋体" w:hAnsi="宋体"/>
                <w:color w:val="000000" w:themeColor="text1"/>
                <w:sz w:val="22"/>
                <w:szCs w:val="22"/>
                <w:highlight w:val="none"/>
              </w:rPr>
            </w:r>
            <w:r>
              <w:rPr>
                <w:color w:val="000000" w:themeColor="text1"/>
                <w:highlight w:val="none"/>
              </w:rPr>
            </w:r>
            <w:r/>
          </w:p>
        </w:tc>
      </w:tr>
    </w:tbl>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7"/>
        <w:rPr>
          <w:color w:val="000000" w:themeColor="text1"/>
          <w:highlight w:val="none"/>
        </w:rPr>
      </w:pPr>
      <w:r>
        <w:rPr>
          <w:rFonts w:hint="eastAsia"/>
          <w:color w:val="000000" w:themeColor="text1"/>
          <w:highlight w:val="none"/>
        </w:rPr>
        <w:t xml:space="preserve">3.</w:t>
      </w:r>
      <w:r>
        <w:rPr>
          <w:rFonts w:hint="eastAsia"/>
          <w:color w:val="000000" w:themeColor="text1"/>
          <w:highlight w:val="none"/>
          <w:lang w:val="en-US" w:eastAsia="zh-CN"/>
        </w:rPr>
        <w:t xml:space="preserve">3</w:t>
      </w:r>
      <w:r>
        <w:rPr>
          <w:rFonts w:hint="eastAsia"/>
          <w:color w:val="000000" w:themeColor="text1"/>
          <w:highlight w:val="none"/>
        </w:rPr>
        <w:t xml:space="preserve">定制开发软件</w:t>
      </w:r>
      <w:r>
        <w:rPr>
          <w:color w:val="000000" w:themeColor="text1"/>
          <w:highlight w:val="none"/>
        </w:rPr>
      </w:r>
      <w:r/>
    </w:p>
    <w:p>
      <w:pPr>
        <w:pStyle w:val="888"/>
        <w:rPr>
          <w:color w:val="000000" w:themeColor="text1"/>
          <w:highlight w:val="none"/>
        </w:rPr>
      </w:pPr>
      <w:r>
        <w:rPr>
          <w:rFonts w:hint="eastAsia"/>
          <w:color w:val="000000" w:themeColor="text1"/>
          <w:highlight w:val="none"/>
        </w:rPr>
        <w:t xml:space="preserve">3.</w:t>
      </w:r>
      <w:r>
        <w:rPr>
          <w:rFonts w:hint="eastAsia"/>
          <w:color w:val="000000" w:themeColor="text1"/>
          <w:highlight w:val="none"/>
          <w:lang w:val="en-US" w:eastAsia="zh-CN"/>
        </w:rPr>
        <w:t xml:space="preserve">3</w:t>
      </w:r>
      <w:r>
        <w:rPr>
          <w:rFonts w:hint="eastAsia"/>
          <w:color w:val="000000" w:themeColor="text1"/>
          <w:highlight w:val="none"/>
        </w:rPr>
        <w:t xml:space="preserve">.1 5G可视化报警子系统</w:t>
      </w:r>
      <w:r>
        <w:rPr>
          <w:color w:val="000000" w:themeColor="text1"/>
          <w:highlight w:val="none"/>
        </w:rPr>
      </w:r>
      <w:r/>
    </w:p>
    <w:tbl>
      <w:tblPr>
        <w:tblW w:w="9360" w:type="dxa"/>
        <w:tblInd w:w="-15" w:type="dxa"/>
        <w:tblLayout w:type="autofit"/>
        <w:tblCellMar>
          <w:left w:w="108" w:type="dxa"/>
          <w:top w:w="0" w:type="dxa"/>
          <w:right w:w="108" w:type="dxa"/>
          <w:bottom w:w="0" w:type="dxa"/>
        </w:tblCellMar>
        <w:tblLook w:val="04A0" w:firstRow="1" w:lastRow="0" w:firstColumn="1" w:lastColumn="0" w:noHBand="0" w:noVBand="1"/>
      </w:tblPr>
      <w:tblGrid>
        <w:gridCol w:w="2595"/>
        <w:gridCol w:w="6765"/>
      </w:tblGrid>
      <w:tr>
        <w:trPr>
          <w:trHeight w:val="285"/>
        </w:trPr>
        <w:tc>
          <w:tcPr>
            <w:shd w:val="clear" w:color="auto" w:fill="ffffff"/>
            <w:tcBorders>
              <w:top w:val="single" w:color="000000" w:sz="8" w:space="0"/>
              <w:left w:val="single" w:color="000000" w:sz="8" w:space="0"/>
              <w:bottom w:val="single" w:color="000000" w:sz="8" w:space="0"/>
              <w:right w:val="single" w:color="000000" w:sz="8" w:space="0"/>
            </w:tcBorders>
            <w:tcW w:w="2595" w:type="dxa"/>
            <w:vAlign w:val="center"/>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一级</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二级</w:t>
            </w:r>
            <w:r>
              <w:rPr>
                <w:color w:val="000000" w:themeColor="text1"/>
                <w:highlight w:val="none"/>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视频通信模块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5G视话接入——呼出合并</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5G视话接入——呼叫保活</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5G视话接入——呼叫拆除</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5G视话接入——呼入分离</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5G视话接入——媒体格式转换</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5G视话接入——媒体流收发</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5G视话接入——视话呼出</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5G视话接入——视话呼入</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5G视话接入——视频分辨率选择</w:t>
            </w:r>
            <w:r>
              <w:rPr>
                <w:color w:val="000000" w:themeColor="text1"/>
                <w:highlight w:val="none"/>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5G视话接入——视频关键帧更新指令</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5G视话接入——通信链路状态管理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5G视话接入——通信信令支持</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5G视话接入——系统注册、注销</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5G视话接入——音视频切换</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5G视话接入——语音数据交换</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5G视话接入——早期媒体</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WebRTC服务——WebRTC服务</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WebRTC服务——多终端支持</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媒体处理服务——DTMF支持</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媒体处理服务——混音</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媒体处理服务——混音切换</w:t>
            </w:r>
            <w:r>
              <w:rPr>
                <w:color w:val="000000" w:themeColor="text1"/>
                <w:highlight w:val="none"/>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媒体处理服务——混音转发</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媒体处理服务——音视频处理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媒体处理服务——音视频流收发</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媒体处理服务——音视频文件播放</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媒体处理服务——增益调整</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视频流传输控制——视频流传输控制</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语音中继服务——通信接口</w:t>
            </w:r>
            <w:r>
              <w:rPr>
                <w:color w:val="000000" w:themeColor="text1"/>
                <w:highlight w:val="none"/>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语音中继服务——通信信令管理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语音中继服务——音频媒体管理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语音中继服务——语音链路状态管理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语音中继服务——语音数据交换</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语音中继服务——语音通话管理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视频报警模块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报警视频预览</w:t>
            </w:r>
            <w:r>
              <w:rPr>
                <w:color w:val="000000" w:themeColor="text1"/>
                <w:highlight w:val="none"/>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多方接警</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排队提示定制</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排队早释</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三方处警</w:t>
            </w:r>
            <w:r>
              <w:rPr>
                <w:color w:val="000000" w:themeColor="text1"/>
                <w:highlight w:val="none"/>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视频报警呼入</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视频呼出</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视频呼叫挂断</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视频呼叫接通</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视频呼叫排队</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所队视频应用</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语音报警转视频报警</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视频报警应用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5G视频拨号</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5G视频查询</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5G视频回访</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对接指挥超图</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接警区5G外呼区分</w:t>
            </w:r>
            <w:r>
              <w:rPr>
                <w:color w:val="000000" w:themeColor="text1"/>
                <w:highlight w:val="none"/>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接处警客户端改造</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基础功能——视频接警列表</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基础功能——视频接警录像播放</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基础功能——组件参数配置</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视频报警通话展示——多方通话展示</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视频报警通话展示——接警员画面及背景定制</w:t>
            </w:r>
            <w:r>
              <w:rPr>
                <w:color w:val="000000" w:themeColor="text1"/>
                <w:highlight w:val="none"/>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视频报警通话展示——视频报警呼入</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视频报警通话展示——视频报警画面展示</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视频报警通话展示——视频报警通话信息</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视频报警通话展示——视频画面展示控制</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视频报警通话展示——视频通话能力提示</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视频报警通话展示——视频抓图</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视频报警通话展示——语音报警切换视频报警</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录制与存储服务模块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记录查询</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录音记录</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录音录像方式</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录音录像回放</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录音录像状态监视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通话录音录像</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苹果手机视频报警</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呼叫短信连接改善</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苹果视频呼叫部署</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视频呼叫发起</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视频通话建议</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网管服务模块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登录管理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业务配置</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运行信息</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在线自检</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坐席状态实时监控</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对接省12345平台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110非警务分流——12345接收反馈</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110非警务分流——非警务类警单转派</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110非警务分流——退单处理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110非警务分流——转派状态提示</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12345警务协作受理——工单反馈</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12345警务协作受理——工单签收</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12345警务协作受理——工单退单</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查询统计——转警警情查询</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查询统计——转警警情统计</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接处警模块功能升级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回访查询升级</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录音格式改造</w:t>
            </w:r>
            <w:r>
              <w:rPr>
                <w:color w:val="000000" w:themeColor="text1"/>
                <w:highlight w:val="none"/>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走失警情处警力量自动添加</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特定警情处警力量自动添加</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星黄标警情区分</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星黄标自动添加警务中台</w:t>
            </w:r>
            <w:r>
              <w:rPr>
                <w:color w:val="000000" w:themeColor="text1"/>
                <w:highlight w:val="none"/>
              </w:rPr>
            </w:r>
            <w:r/>
          </w:p>
        </w:tc>
      </w:tr>
      <w:tr>
        <w:trPr>
          <w:trHeight w:val="285"/>
        </w:trPr>
        <w:tc>
          <w:tcPr>
            <w:shd w:val="clear" w:color="auto" w:fill="ffffff"/>
            <w:tcBorders>
              <w:top w:val="none" w:color="000000" w:sz="4" w:space="0"/>
              <w:left w:val="single" w:color="000000" w:sz="8" w:space="0"/>
              <w:bottom w:val="single" w:color="000000" w:sz="8" w:space="0"/>
              <w:right w:val="single" w:color="000000" w:sz="8" w:space="0"/>
            </w:tcBorders>
            <w:tcW w:w="2595" w:type="dxa"/>
            <w:vAlign w:val="center"/>
            <w:vMerge w:val="continue"/>
            <w:textDirection w:val="lrTb"/>
            <w:noWrap/>
          </w:tcPr>
          <w:p>
            <w:pPr>
              <w:pStyle w:val="883"/>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8" w:space="0"/>
              <w:right w:val="single" w:color="000000" w:sz="8" w:space="0"/>
            </w:tcBorders>
            <w:tcW w:w="6765"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lang w:bidi="ar"/>
              </w:rPr>
              <w:t xml:space="preserve">与120系统对接</w:t>
            </w:r>
            <w:r>
              <w:rPr>
                <w:color w:val="000000" w:themeColor="text1"/>
                <w:highlight w:val="none"/>
              </w:rPr>
            </w:r>
            <w:r/>
          </w:p>
        </w:tc>
      </w:tr>
    </w:tbl>
    <w:p>
      <w:pPr>
        <w:pStyle w:val="883"/>
        <w:rPr>
          <w:color w:val="000000" w:themeColor="text1"/>
          <w:highlight w:val="none"/>
        </w:rPr>
      </w:pPr>
      <w:r>
        <w:rPr>
          <w:color w:val="000000" w:themeColor="text1"/>
          <w:highlight w:val="none"/>
        </w:rPr>
      </w:r>
      <w:r>
        <w:rPr>
          <w:color w:val="000000" w:themeColor="text1"/>
          <w:highlight w:val="none"/>
        </w:rPr>
      </w:r>
      <w:r/>
    </w:p>
    <w:p>
      <w:pPr>
        <w:pStyle w:val="888"/>
        <w:rPr>
          <w:color w:val="000000" w:themeColor="text1"/>
          <w:highlight w:val="none"/>
        </w:rPr>
      </w:pPr>
      <w:r>
        <w:rPr>
          <w:rFonts w:hint="eastAsia"/>
          <w:color w:val="000000" w:themeColor="text1"/>
          <w:highlight w:val="none"/>
        </w:rPr>
        <w:t xml:space="preserve">3.</w:t>
      </w:r>
      <w:r>
        <w:rPr>
          <w:rFonts w:hint="eastAsia"/>
          <w:color w:val="000000" w:themeColor="text1"/>
          <w:highlight w:val="none"/>
          <w:lang w:val="en-US" w:eastAsia="zh-CN"/>
        </w:rPr>
        <w:t xml:space="preserve">3</w:t>
      </w:r>
      <w:r>
        <w:rPr>
          <w:rFonts w:hint="eastAsia"/>
          <w:color w:val="000000" w:themeColor="text1"/>
          <w:highlight w:val="none"/>
        </w:rPr>
        <w:t xml:space="preserve">.2警情盯督子系统</w:t>
      </w:r>
      <w:r>
        <w:rPr>
          <w:color w:val="000000" w:themeColor="text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768"/>
        <w:gridCol w:w="6401"/>
      </w:tblGrid>
      <w:tr>
        <w:trPr>
          <w:trHeight w:val="288"/>
        </w:trPr>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pStyle w:val="883"/>
              <w:jc w:val="center"/>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一级</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二级</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基础信息管理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警车装备管理——编辑警车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警车装备管理——所站队装备管理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警车装备管理——新增警车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警车装备管理——执法仪管理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警力到场质态——黄标警情到场明细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警力到场质态——黄标警情到场质态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警力到场质态——星标警情到场明细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警力到场质态——星标警情到场质态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警情处置</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黄标警情——黄标警情查询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黄标警情——黄标警情语音播报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黄标警情——黄标实时警情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警情打标——报警人身份标签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警情打标——处警打标</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警情打标——处警视频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警情打标——处置流程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警情打标——接警打标</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警情打标——警情地图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警情打标——警情提级</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警情打标——警情详情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警情打标——无需出警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星标警情——星标警情查询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星标警情——星标警情语音播报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星标警情——星标实时警情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指挥预案——对接即时通讯</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指挥预案——警情闭环</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指挥预案——警情预案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指挥预案——上传视频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指挥预案——预案匹配</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指挥预案——预案数据处理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最近警情——警情变更推送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最近警情——警情查询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最近警情——警情状态推送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最近警情——实时警情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最近警情——新警情推送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最近警情——新警情语音提醒</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警情盯督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盯督质态——星标盯警质态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盯督质态——一般盯警质态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盯警质态明细表——盯警有问题警情明细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盯警质态明细表——未盯警警情明细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警情盯警——查看盯警流程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警情盯警——呈请提级盯办</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警情盯警——盯警反馈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警情盯警——盯警详情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警情盯警——盯警暂存</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警情盯警——盯警状态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警情盯警——跟盯警情列表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警情盯警——警情盯警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警情督盯——督盯警情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警情督盯——分局督盯</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警情督盯——市局督盯</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线路预案——定位设备新增</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线路预案——视频接力点位管理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线路预案——线路绘制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线路预案——线路视频接力</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线路预案——线路预案编辑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线路预案——线路预案删除</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线路预案——沿线周边监控查询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线路预案——预案节点管理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勤务报备</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勤务质态监管——当日情指通在线明细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勤务质态监管——电台不在线明细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勤务质态监管——后半夜在线警力质态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勤务质态监管——警力报备质态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勤务质态监管——警力估算</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勤务质态监管——民警辅警电台质态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勤务质态监管——民警辅警警力在线质态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勤务质态监管——民警辅警勤务眼质态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勤务质态监管——勤务眼不在线明细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勤务质态监管——情指通不在线明细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勤务质态监管——情指通打卡质态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勤务质态监管——值班批量报备</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智能体架构设计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数据对接（警情数据）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系统对接（处警平台）</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日报结构/数据分析</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场景切片规划</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工作流编排——警情质量检查智能体</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提示词工程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模型选型与调参</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知识工程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数据工程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工具集开发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智能体中台脚本</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处警端插件辅助</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智能体水印——智能体生成和实际反馈的差异对比</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标签统计分析——RLHF基于人类反馈的强化学习</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智能体运维——提示词迭代、限制追加</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待反馈人员——待反馈人员列表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待反馈人员——警种单位待反馈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待反馈人员——市局待反馈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待反馈人员——属地单位待反馈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待反馈人员——责任单位待反馈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待签收人员——待签收交办单列表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待签收人员——警种单位待签收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待签收人员——市局待签收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待签收人员——属地待签收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待签收人员——责任单位待签收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交办单签收——警种单位签收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交办单签收——属地单位签收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交办单签收——责任单位签收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交办单审批——待审批</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交办单审批——审批</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交办详情——办结状态计算</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交办详情——处置流程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交办详情——反馈单详情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交办详情——积分明细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交办详情——交办单详情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交办详情——涉警记录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交办详情——最近报警记录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人员分析——比对身份</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人员分析——呈请交办</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人员分析——待上报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人员分析——待审批</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人员分析——积分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人员分析——计算级别</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人员分析——计算责任单位</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人员分析——一号多警去重</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人员分析——一号多警计算</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治理反馈——待审核</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治理反馈——反馈单审核</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治理反馈——警种单位反馈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治理反馈——责任单位反馈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地图分析——地图定位</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地图分析——警情聚合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地图分析——聚类分析</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地图分析——全域警情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地图分析——下发交办单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地图分析——下载警情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数据分析——数据分析</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数据分析——统计结果导出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数据分析——统计数据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数据分析——下发交办单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数据分析——下载警情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一地多警——数据分析</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一地多警——统计数据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一地多警列表——市局列表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一地多警列表——一地多警列表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一地多警列表——责任单位列表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一地多警详情——处置流程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一地多警详情——反馈单详情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一地多警详情——交办单签收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一地多警详情——交办单详情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一地多警详情——治理反馈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一类多警列表——市局列表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一类多警列表——一类多警查询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一类多警列表——责任单位列表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一类多警详情——处置流程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一类多警详情——反馈单详情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一类多警详情——交办单签收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一类多警详情——交办单详情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一类多警详情——治理反馈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待反馈——待反馈人员列表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待反馈——警种单位待反馈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待反馈——市局待反馈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待反馈——属地单位待反馈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待反馈——责任单位待反馈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待签收——待签收交办单列表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待签收——警种单位待签收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待签收——市局待签收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待签收——属地单位待签收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待签收——责任单位待签收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交办单签收——警种单位签收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交办单签收——属地单位签收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交办单签收——责任单位签收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交办单审批——待审批</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交办单审批——审批</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交办详情——办结状态计算</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交办详情——处置流程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交办详情——反馈单详情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交办详情——积分明细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交办详情——交办单详情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交办详情——涉警记录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交办详情——最近涉警记录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人员分析——呈请交办</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人员分析——待上报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人员分析——待审批</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人员分析——对象积分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人员分析——确定级别</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人员分析——确定派发规则</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人员分析——一人多警计算</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人员分析——一人多警去重</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治理反馈——待审核</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治理反馈——反馈单审核</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治理反馈——警种单位反馈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治理反馈——责任单位用户反馈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数据分析——分析结果导出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数据分析——数据处理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数据分析——数据分析</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数据分析——统计数据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数据分析——下发交办单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数据分析——下载警情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一事多警列表——市局列表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一事多警列表——一事多警查询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一事多警列表——责任单位列表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一事多警详情——处置流程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一事多警详情——反馈单详情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一事多警详情——交办单签收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一事多警详情——交办单详情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治理反馈——挑头人员管理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治理反馈——治理反馈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语音指挥接口</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地图调度接口——地图查询接口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地图调度接口——地图放大接口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地图调度接口——地图上移接口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地图调度接口——地图缩小接口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地图调度接口——地图下移接口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地图调度接口——地图右移接口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地图调度接口——地图左移接口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警情警力调度接口——附近警力查询接口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警情警力调度接口——警车调度接口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警情警力调度接口——警车定位接口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警情警力调度接口——警力查询接口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警情警力调度接口——警力路线规划接口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警情警力调度接口——警力指派接口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警情警力调度接口——警情地址更改接口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警情警力调度接口——警情切换接口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警情警力调度接口——警情详情接口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警情热力图接口——打开热力图接口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警情热力图接口——警情单位和类型热力图接口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警情热力图接口——警情单位和时间热力图接口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警情热力图接口——警情单位热力图接口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警情热力图接口——警情类型热力图接口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警情热力图接口——警情时间单位和类型热力图接口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警情热力图接口——警情时间和类型热力图接口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警情热力图接口——警情时间热力图接口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视频调度接口——打开监控接口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视频调度接口——监控控制接口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视频调度接口——名称调度监控接口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视频调度接口——视频预案接口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视频调度接口——视频预案切换接口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视频调度接口——周边监控查询接口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预案调度接口——关闭预案接口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预案调度接口——预案打开接口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预案调度接口——预案切换接口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预案调度接口——预案章节控制接口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值班报备接口——固定组通讯接口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值班报备接口——关闭融合通讯接口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值班报备接口——融合通讯接口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值班报备接口——语音通话接口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值班报备接口——值班岗位查看接口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值班报备接口——值班人员查看接口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重复警情查询</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一地多警查询——交办单查询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一地多警查询——交办详情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一号多警查询——人员查询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一号多警查询——人员详情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一号多警查询——一号多警导出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一类多警查询——交办单查询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一类多警查询——交办详情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一人多警查询——人员查询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一人多警查询——人员详情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一人多警查询——一人多警导出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一事多警查询——交办单查询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一事多警查询——交办详情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重复警情统计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查询规则管理——编辑规则</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查询规则管理——编辑规则分类</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查询规则管理——查询规则</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查询规则管理——调整规则顺序</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查询规则管理——警情规则统计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查询规则管理——删除规则</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查询规则管理——删除规则分类</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查询规则管理——新增规则分类</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风险预警——风险人员查询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风险预警——风险人员详情</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风险预警——新警综数据对接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交通超图数据对接——数据对接与集成</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交通超图数据对接——数据清洗与预处理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交通超图数据对接——数据梳理与评估</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接警警情检索——黄标警情查询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接警警情检索——接警警情查询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接警警情检索——警综警情索引库</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接警警情检索——星标警情查询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警情研判报表——黄标警情统计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警情研判报表——警情标签统计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警情研判报表——日报告警情统计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警情研判报表——星标警情统计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警情研判报表——星黄标位置修改距离明细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警情自定义规则检索——规则编辑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警情自定义规则检索——检索结果导出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警情自定义规则检索——警综警情索引库</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警情自定义规则检索——自定义规则警情检索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联动车辆数据对接——汇聚勤务报备数据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联动车辆数据对接——内网数据同步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联动车辆数据对接——外网数据对接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联动车辆数据对接——未成年人数据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数据推送——接警数据推送赋能协同平台、新警综等</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一号多警警种质态统计——查看明细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一号多警警种质态统计——质态统计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一号多警警种质态统计——质态统计导出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一号多警纠纷人员统计——查看明细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一号多警纠纷人员统计——数据导出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一号多警纠纷人员统计——数据统计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一号多警举报人员统计——查看明细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一号多警举报人员统计——数据导出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一号多警举报人员统计——数据统计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一号多警乱报人员统计——查看明细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一号多警乱报人员统计——数据导出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一号多警乱报人员统计——数据统计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一号多警求助人员统计——查看明细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一号多警求助人员统计——数据导出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一号多警求助人员统计——数据统计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一号多警上访人员统计——查看明细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一号多警上访人员统计——数据导出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一号多警上访人员统计——数据统计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一号多警属地质态统计——查看明细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一号多警属地质态统计——质态统计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一号多警属地质态统计——质态统计导出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一号多警投诉人员统计——查看明细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一号多警投诉人员统计——数据导出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一号多警投诉人员统计——数据统计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一号多警治理工作统计——查看明细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一号多警治理工作统计——数据导出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一号多警治理工作统计——数据统计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一人多警警种质态统计——查看明细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一人多警警种质态统计——数据导出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一人多警警种质态统计——数据统计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一人多警属地质态统计——查看明细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一人多警属地质态统计——数据导出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一人多警属地质态统计——数据统计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一人多警治理对象统计——查看明细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一人多警治理对象统计——数据导出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一人多警治理对象统计——数据统计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一人多警治理类型统计——人员明细导出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一人多警治理类型统计——数据导出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一人多警治理类型统计——数据统计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自定义查询——查询结果导出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自定义查询——分组条件管理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自定义查询——规则保存</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自定义查询——条件管理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1509"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349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自定义查询——自定义条件查询</w:t>
            </w:r>
            <w:r>
              <w:rPr>
                <w:color w:val="000000" w:themeColor="text1"/>
                <w:highlight w:val="none"/>
              </w:rPr>
            </w:r>
            <w:r/>
          </w:p>
        </w:tc>
      </w:tr>
    </w:tbl>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8"/>
        <w:rPr>
          <w:color w:val="000000" w:themeColor="text1"/>
          <w:highlight w:val="none"/>
        </w:rPr>
      </w:pPr>
      <w:r>
        <w:rPr>
          <w:rFonts w:hint="eastAsia"/>
          <w:color w:val="000000" w:themeColor="text1"/>
          <w:highlight w:val="none"/>
        </w:rPr>
        <w:t xml:space="preserve">3.</w:t>
      </w:r>
      <w:r>
        <w:rPr>
          <w:rFonts w:hint="eastAsia"/>
          <w:color w:val="000000" w:themeColor="text1"/>
          <w:highlight w:val="none"/>
          <w:lang w:val="en-US" w:eastAsia="zh-CN"/>
        </w:rPr>
        <w:t xml:space="preserve">3</w:t>
      </w:r>
      <w:r>
        <w:rPr>
          <w:rFonts w:hint="eastAsia"/>
          <w:color w:val="000000" w:themeColor="text1"/>
          <w:highlight w:val="none"/>
        </w:rPr>
        <w:t xml:space="preserve">.3警用无人机模块</w:t>
      </w:r>
      <w:r>
        <w:rPr>
          <w:color w:val="000000" w:themeColor="text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891"/>
        <w:gridCol w:w="5278"/>
      </w:tblGrid>
      <w:tr>
        <w:trPr>
          <w:trHeight w:val="288"/>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tcPr>
          <w:p>
            <w:pPr>
              <w:pStyle w:val="883"/>
              <w:jc w:val="lef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一级</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二级</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AI识别对接大数据</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AI告警查询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AI告警信息存储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车牌结构化对比</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对比结果告警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人脸结构化对比</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删除AI告警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穿越无人机接入</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接入无人机视频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视频存储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视频回放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无人机视频上墙</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无人机信息配置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大疆上云API对接</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监控已接入平台状态</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接入鉴权</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解析无人机HMS信息</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解析无人机态势数据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解析无人机载荷数据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任务回放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设置视频清晰度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视频存储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视频级联国标平台</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同步航线数据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同步任务数据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无人机控制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无人机载荷控制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无人机姿态数据存储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下发航线</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新建无人机HMS物模型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新建无人机物模型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新建载荷物模型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多机协同建模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创建建模任务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分配无人机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下发多机建模任务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反制设备接入</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白名单无人机过滤</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查询设备</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查询探测记录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查询无人机白名单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查询无人机黑名单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黑名单无人机匹配</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机型统计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删除无人机白名单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删除无人机黑名单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设备上图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探测告警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探测数据存储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探测数据回放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探测数据上图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探测数统计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添加无人机白名单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添加无人机黑名单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协议对接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新增设备</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修改设备</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修改无人机白名单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修改无人机黑名单</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飞手任务监管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查看任务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档案预览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导出飞手积分报表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分配任务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积分排行</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任务打分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删除飞手档案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删除飞手执照</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删除任务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上传飞手档案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上传飞手执照</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修改任务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质态打分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警情跟盯</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固定监控接入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空地协同</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执法记录仪轨迹</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执法记录仪接入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三网三平台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警情同步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视频存储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文件同步公安网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无人机及鹰巢数据展示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无人机控制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无人机数据接入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无人机数据同步公安网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移动网平台建设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鹰巢控制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鹰巢数据接入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鹰巢数据同步公安网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指挥调度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三维建模</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成果组管理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创建实时建模任务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断点续飞</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航线预览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建模结果存储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建模结果管理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建模进度回显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距离测量</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历史建模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面积测量</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模型生成服务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生成侧立面建模航线</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生成环绕建模航线</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生成几何体立面建模航线</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生成蛇形建模航线</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实时三维建模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数据回传</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体积测量</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图片标注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文字标注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社会面信息管理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产业类型管理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企业信息编辑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企业信息查询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企业信息导出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企业信息导入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企业信息录入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企业信息删除</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企业信息统计看板</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企业性质管理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所属地区管理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无人机等级管理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无人机类型管理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无人机品牌管理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无人机所属地区统计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无人机信息编辑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无人机信息查询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无人机信息导出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无人机信息导入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无人机信息录入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无人机型号管理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无人机用途管理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视频预案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查询预案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创建预案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删除预案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修改预案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正反面案例库</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查询正反面案例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创建正反面案例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删除正反面案例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视频剪辑工具</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修改正反面案例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restart"/>
            <w:textDirection w:val="lrTb"/>
            <w:noWrap/>
          </w:tcPr>
          <w:p>
            <w:pPr>
              <w:pStyle w:val="883"/>
              <w:jc w:val="center"/>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政务侧无人机接入</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接入无人机视频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解析无人机态势数据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解析无人机载荷数据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解析鹰巢数据</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平台鉴权</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任务回放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视频存储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数据上图</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无人机查询</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无人机视频上墙</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无人机姿态数据存储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新建无人机物模型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新建鹰巢物模型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pStyle w:val="883"/>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2878"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鹰巢查询</w:t>
            </w:r>
            <w:r>
              <w:rPr>
                <w:color w:val="000000" w:themeColor="text1"/>
                <w:highlight w:val="none"/>
              </w:rPr>
            </w:r>
            <w:r/>
          </w:p>
        </w:tc>
      </w:tr>
    </w:tbl>
    <w:p>
      <w:pPr>
        <w:pStyle w:val="883"/>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8"/>
        <w:rPr>
          <w:color w:val="000000" w:themeColor="text1"/>
          <w:highlight w:val="none"/>
        </w:rPr>
      </w:pPr>
      <w:r>
        <w:rPr>
          <w:rFonts w:hint="eastAsia"/>
          <w:color w:val="000000" w:themeColor="text1"/>
          <w:highlight w:val="none"/>
        </w:rPr>
        <w:t xml:space="preserve">3.</w:t>
      </w:r>
      <w:r>
        <w:rPr>
          <w:rFonts w:hint="eastAsia"/>
          <w:color w:val="000000" w:themeColor="text1"/>
          <w:highlight w:val="none"/>
          <w:lang w:val="en-US" w:eastAsia="zh-CN"/>
        </w:rPr>
        <w:t xml:space="preserve">3</w:t>
      </w:r>
      <w:r>
        <w:rPr>
          <w:rFonts w:hint="eastAsia"/>
          <w:color w:val="000000" w:themeColor="text1"/>
          <w:highlight w:val="none"/>
        </w:rPr>
        <w:t xml:space="preserve">.4情指行（情报）子系统</w:t>
      </w:r>
      <w:r>
        <w:rPr>
          <w:color w:val="000000" w:themeColor="text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169"/>
      </w:tblGrid>
      <w:tr>
        <w:trPr>
          <w:trHeight w:val="288"/>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一级</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标准接口输出开发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布控任务智能应用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部门预警定制</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大型活动风险提示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对下交办</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多场景识别模型</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多维数据分析报表</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个人业务</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今日安保场景</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临时档案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情报收集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情报续报</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情报转档</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人员档案</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人员多维管控</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三方接口输入开发</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上级交办</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涉及人员情报指令汇集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未成年预警</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信息提示</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刑警支队情指行改造</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智能省厅指令</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智能市局指令</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智能指令</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重大敏感事件风险管理</w:t>
            </w:r>
            <w:r>
              <w:rPr>
                <w:color w:val="000000" w:themeColor="text1"/>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5000" w:type="dxa"/>
            <w:vAlign w:val="center"/>
            <w:textDirection w:val="lrTb"/>
            <w:noWrap/>
          </w:tcPr>
          <w:p>
            <w:pPr>
              <w:pStyle w:val="883"/>
              <w:jc w:val="lef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自建档案</w:t>
            </w:r>
            <w:r>
              <w:rPr>
                <w:color w:val="000000" w:themeColor="text1"/>
                <w:highlight w:val="none"/>
              </w:rPr>
            </w:r>
            <w:r/>
          </w:p>
        </w:tc>
      </w:tr>
    </w:tbl>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6"/>
        <w:rPr>
          <w:color w:val="000000" w:themeColor="text1"/>
          <w:highlight w:val="none"/>
        </w:rPr>
      </w:pPr>
      <w:r>
        <w:rPr>
          <w:rFonts w:hint="eastAsia"/>
          <w:color w:val="000000" w:themeColor="text1"/>
          <w:highlight w:val="none"/>
        </w:rPr>
        <w:t xml:space="preserve">4．实施要求</w:t>
      </w:r>
      <w:r>
        <w:rPr>
          <w:color w:val="000000" w:themeColor="text1"/>
          <w:highlight w:val="none"/>
        </w:rPr>
      </w:r>
      <w:r/>
    </w:p>
    <w:p>
      <w:pPr>
        <w:pStyle w:val="883"/>
        <w:ind w:firstLine="480"/>
        <w:spacing w:line="360" w:lineRule="auto"/>
        <w:tabs>
          <w:tab w:val="left" w:pos="525" w:leader="none"/>
          <w:tab w:val="left" w:pos="945" w:leader="none"/>
          <w:tab w:val="left" w:pos="1155" w:leader="none"/>
        </w:tabs>
        <w:rPr>
          <w:rFonts w:hint="eastAsia" w:ascii="宋体" w:hAnsi="宋体" w:cs="宋体"/>
          <w:color w:val="000000" w:themeColor="text1"/>
          <w:sz w:val="24"/>
          <w:szCs w:val="28"/>
          <w:highlight w:val="none"/>
        </w:rPr>
      </w:pPr>
      <w:r>
        <w:rPr>
          <w:color w:val="000000" w:themeColor="text1"/>
          <w:highlight w:val="none"/>
        </w:rPr>
      </w:r>
      <w:bookmarkStart w:id="193" w:name="_Hlk218515002"/>
      <w:r>
        <w:rPr>
          <w:rFonts w:hint="eastAsia" w:ascii="宋体" w:hAnsi="宋体" w:cs="宋体"/>
          <w:color w:val="000000" w:themeColor="text1"/>
          <w:sz w:val="24"/>
          <w:szCs w:val="28"/>
          <w:highlight w:val="none"/>
        </w:rPr>
        <w:t xml:space="preserve">中标人须在按照本招标文件及合同约定要求时限内完成软硬件到采购人指定地点的供货及所有安装服务并投入运行。中标人须确保产品的数量、产品的完整性、实用性，保证全部系统及时投入正常运行。若出现因中标人提供的产品的数量不足、性能不满足要求、不合理，或者其所提供的技术支持和服务不全面，而导致系统无法实现或不能完全实现的状况，采购人有权按照法律规定进行相应处理，所有因中标人造成的损失由中标人承担。</w:t>
      </w:r>
      <w:r>
        <w:rPr>
          <w:color w:val="000000" w:themeColor="text1"/>
          <w:highlight w:val="none"/>
        </w:rPr>
      </w:r>
      <w:r/>
    </w:p>
    <w:p>
      <w:pPr>
        <w:pStyle w:val="883"/>
        <w:ind w:firstLine="480"/>
        <w:spacing w:line="360" w:lineRule="auto"/>
        <w:tabs>
          <w:tab w:val="left" w:pos="525" w:leader="none"/>
          <w:tab w:val="left" w:pos="945" w:leader="none"/>
          <w:tab w:val="left" w:pos="1155" w:leader="none"/>
        </w:tabs>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中标人须根据合同约定，在规定的时间内，保证质量完成软硬件的安装、调试及投入运行。软硬件安装、调试所需的工具、仪表及安装材料应由中标人自行解决。中标人提供所供设备连接所需的各种模块、线缆（电源线、网线、光纤等），完成设备上架、安装、设备与线缆标签制作粘贴、理线。中标人必须在对其所提供的软硬件进行安装、测试、验收过程中提供和准备的技术文档。</w:t>
      </w:r>
      <w:r>
        <w:rPr>
          <w:color w:val="000000" w:themeColor="text1"/>
          <w:highlight w:val="none"/>
        </w:rPr>
      </w:r>
      <w:r/>
    </w:p>
    <w:p>
      <w:pPr>
        <w:pStyle w:val="883"/>
        <w:ind w:firstLine="480"/>
        <w:spacing w:line="360" w:lineRule="auto"/>
        <w:tabs>
          <w:tab w:val="left" w:pos="525" w:leader="none"/>
          <w:tab w:val="left" w:pos="945" w:leader="none"/>
          <w:tab w:val="left" w:pos="1155" w:leader="none"/>
        </w:tabs>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本次项目实施中涉及实施相关工作均由中标人按照采购人要求进行，网络规划和连接必须和采购人现有网络进行无缝对接。</w:t>
      </w:r>
      <w:r>
        <w:rPr>
          <w:color w:val="000000" w:themeColor="text1"/>
          <w:highlight w:val="none"/>
        </w:rPr>
      </w:r>
      <w:r/>
    </w:p>
    <w:p>
      <w:pPr>
        <w:pStyle w:val="883"/>
        <w:ind w:firstLine="480"/>
        <w:spacing w:line="360" w:lineRule="auto"/>
        <w:tabs>
          <w:tab w:val="left" w:pos="525" w:leader="none"/>
          <w:tab w:val="left" w:pos="945" w:leader="none"/>
          <w:tab w:val="left" w:pos="1155" w:leader="none"/>
        </w:tabs>
        <w:rPr>
          <w:rFonts w:hint="eastAsia" w:eastAsia="宋体" w:cs="Times New Roman"/>
          <w:b/>
          <w:bCs/>
          <w:color w:val="000000" w:themeColor="text1"/>
          <w:highlight w:val="none"/>
        </w:rPr>
      </w:pPr>
      <w:r>
        <w:rPr>
          <w:rFonts w:hint="eastAsia" w:ascii="宋体" w:hAnsi="宋体" w:cs="宋体"/>
          <w:color w:val="000000" w:themeColor="text1"/>
          <w:sz w:val="24"/>
          <w:szCs w:val="28"/>
          <w:highlight w:val="none"/>
        </w:rPr>
        <w:t xml:space="preserve">中标人须提供质保期内系统运维保障和技术支持的相关服务，提供7*24小时技术响应，</w:t>
      </w:r>
      <w:r>
        <w:rPr>
          <w:rFonts w:hint="eastAsia" w:ascii="宋体" w:hAnsi="宋体" w:cs="宋体"/>
          <w:color w:val="000000" w:themeColor="text1"/>
          <w:sz w:val="24"/>
          <w:szCs w:val="28"/>
          <w:highlight w:val="none"/>
          <w:lang w:val="en-US" w:eastAsia="zh-CN"/>
        </w:rPr>
        <w:t xml:space="preserve">提供驻场服务，</w:t>
      </w:r>
      <w:r>
        <w:rPr>
          <w:rFonts w:hint="eastAsia" w:ascii="宋体" w:hAnsi="宋体" w:cs="宋体"/>
          <w:color w:val="000000" w:themeColor="text1"/>
          <w:sz w:val="24"/>
          <w:szCs w:val="28"/>
          <w:highlight w:val="none"/>
        </w:rPr>
        <w:t xml:space="preserve">系统发生故障时须半小时内响应，1小时内到达现场，24小时内解决故障问题，如达不到要求</w:t>
      </w:r>
      <w:r>
        <w:rPr>
          <w:rFonts w:hint="eastAsia" w:ascii="宋体" w:hAnsi="宋体" w:cs="宋体"/>
          <w:color w:val="000000" w:themeColor="text1"/>
          <w:sz w:val="24"/>
          <w:szCs w:val="28"/>
          <w:highlight w:val="none"/>
        </w:rPr>
        <w:t xml:space="preserve">，</w:t>
      </w:r>
      <w:r>
        <w:rPr>
          <w:rFonts w:hint="eastAsia" w:ascii="宋体" w:hAnsi="宋体" w:cs="宋体"/>
          <w:color w:val="000000" w:themeColor="text1"/>
          <w:sz w:val="24"/>
          <w:szCs w:val="28"/>
          <w:highlight w:val="none"/>
          <w:lang w:val="en-US" w:eastAsia="zh-CN"/>
        </w:rPr>
        <w:t xml:space="preserve">造成损失的</w:t>
      </w:r>
      <w:r>
        <w:rPr>
          <w:rFonts w:hint="eastAsia" w:ascii="宋体" w:hAnsi="宋体"/>
          <w:color w:val="000000" w:themeColor="text1"/>
          <w:sz w:val="24"/>
          <w:szCs w:val="24"/>
          <w:highlight w:val="none"/>
        </w:rPr>
        <w:t xml:space="preserve">中标人应承担相应责任</w:t>
      </w:r>
      <w:r>
        <w:rPr>
          <w:rFonts w:hint="eastAsia" w:ascii="宋体" w:hAnsi="宋体" w:cs="宋体"/>
          <w:color w:val="000000" w:themeColor="text1"/>
          <w:sz w:val="24"/>
          <w:szCs w:val="28"/>
          <w:highlight w:val="none"/>
        </w:rPr>
        <w:t xml:space="preserve">，质保期内提供硬盘不返还服务。</w:t>
      </w:r>
      <w:bookmarkEnd w:id="193"/>
      <w:r>
        <w:rPr>
          <w:color w:val="000000" w:themeColor="text1"/>
          <w:highlight w:val="none"/>
        </w:rPr>
      </w:r>
      <w:r/>
    </w:p>
    <w:p>
      <w:pPr>
        <w:pStyle w:val="886"/>
        <w:rPr>
          <w:rFonts w:hint="eastAsia" w:eastAsia="宋体" w:cs="Times New Roman"/>
          <w:b/>
          <w:bCs/>
          <w:color w:val="000000" w:themeColor="text1"/>
          <w:highlight w:val="none"/>
        </w:rPr>
      </w:pPr>
      <w:r>
        <w:rPr>
          <w:rFonts w:hint="eastAsia" w:eastAsia="宋体" w:cs="Times New Roman"/>
          <w:b/>
          <w:bCs/>
          <w:color w:val="000000" w:themeColor="text1"/>
          <w:highlight w:val="none"/>
          <w:lang w:val="en-US" w:eastAsia="zh-CN"/>
        </w:rPr>
        <w:t xml:space="preserve">5</w:t>
      </w:r>
      <w:r>
        <w:rPr>
          <w:rFonts w:hint="eastAsia" w:eastAsia="宋体" w:cs="Times New Roman"/>
          <w:b/>
          <w:bCs/>
          <w:color w:val="000000" w:themeColor="text1"/>
          <w:highlight w:val="none"/>
        </w:rPr>
        <w:t xml:space="preserve">.履约验收要求</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5.1  履约验收主体：无锡市公安局。</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5.2  履约验收时间：政府采购合同约定的履约验收条件达到时，在5个工作日内启动履约验收工作。</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5.3  履约验收方式：一次性验收。</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5.4  履约验收程序：根据相关规定成立验收小组，针对本项目进行验收。</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5.5  履约验收内容和标准：项目招标文件、投标文件、合同等材料。</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3"/>
        <w:ind w:firstLine="480"/>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color w:val="000000" w:themeColor="text1"/>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投标总报价包括满足本项目服务要求的从项目中标起到项目正式交付以及服务期内所发生的一切费用。</w:t>
      </w:r>
      <w:r>
        <w:rPr>
          <w:color w:val="000000" w:themeColor="text1"/>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进口产品是指通过中国海关报关验放进入中国境内且产自关境外的产品。</w:t>
      </w:r>
      <w:r>
        <w:rPr>
          <w:color w:val="000000" w:themeColor="text1"/>
          <w:highlight w:val="none"/>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color w:val="000000" w:themeColor="text1"/>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color w:val="000000" w:themeColor="text1"/>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 w:val="0"/>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hAnsi="宋体"/>
          <w:b w:val="0"/>
          <w:bCs/>
          <w:color w:val="000000" w:themeColor="text1"/>
          <w:sz w:val="24"/>
          <w:szCs w:val="24"/>
          <w:highlight w:val="none"/>
          <w:lang w:val="en-US" w:eastAsia="zh-CN"/>
        </w:rPr>
        <w:t xml:space="preserve">自合同签订之日起</w:t>
      </w:r>
      <w:r>
        <w:rPr>
          <w:rFonts w:hint="eastAsia" w:ascii="宋体" w:hAnsi="宋体" w:eastAsia="宋体" w:cs="Times New Roman"/>
          <w:b w:val="0"/>
          <w:bCs/>
          <w:color w:val="000000" w:themeColor="text1"/>
          <w:sz w:val="24"/>
          <w:szCs w:val="24"/>
          <w:highlight w:val="none"/>
        </w:rPr>
        <w:t xml:space="preserve">24个月</w:t>
      </w:r>
      <w:r>
        <w:rPr>
          <w:rFonts w:hint="eastAsia" w:ascii="宋体" w:hAnsi="宋体" w:eastAsia="宋体" w:cs="Times New Roman"/>
          <w:b w:val="0"/>
          <w:bCs/>
          <w:color w:val="000000" w:themeColor="text1"/>
          <w:sz w:val="24"/>
          <w:szCs w:val="24"/>
          <w:highlight w:val="none"/>
          <w:lang w:eastAsia="zh-CN"/>
        </w:rPr>
        <w:t xml:space="preserve">。</w:t>
      </w:r>
      <w:r>
        <w:rPr>
          <w:color w:val="000000" w:themeColor="text1"/>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项目整体质保期：</w:t>
      </w:r>
      <w:r>
        <w:rPr>
          <w:rFonts w:hint="eastAsia" w:ascii="宋体"/>
          <w:bCs/>
          <w:color w:val="000000" w:themeColor="text1"/>
          <w:sz w:val="24"/>
          <w:szCs w:val="24"/>
          <w:highlight w:val="none"/>
          <w:lang w:val="en-US" w:eastAsia="zh-CN"/>
        </w:rPr>
        <w:t xml:space="preserve">硬件五年，软件三年。</w:t>
      </w:r>
      <w:r>
        <w:rPr>
          <w:rFonts w:hint="eastAsia" w:ascii="宋体" w:hAnsi="宋体"/>
          <w:bCs/>
          <w:color w:val="000000" w:themeColor="text1"/>
          <w:sz w:val="24"/>
          <w:szCs w:val="24"/>
          <w:highlight w:val="none"/>
        </w:rPr>
        <w:t xml:space="preserve">维保费用应包含在投标总价中，中标人不得在维护期内另行收费。维护期内出现质量问题，中标人需承担相应维护费用及因故障导致的赔偿责任。</w:t>
      </w:r>
      <w:r>
        <w:rPr>
          <w:rFonts w:hint="eastAsia" w:ascii="宋体" w:hAnsi="宋体"/>
          <w:bCs/>
          <w:color w:val="000000" w:themeColor="text1"/>
          <w:sz w:val="24"/>
          <w:szCs w:val="24"/>
          <w:highlight w:val="none"/>
        </w:rPr>
        <w:t xml:space="preserve">（如财政部、工业和信息化部共同发布的便携式计算机、操作系统、工作站、数据库、台式计算机、通用服务器、一体式计算机七种IT软硬件中另有规定的按其规定执行。）</w:t>
      </w:r>
      <w:r>
        <w:rPr>
          <w:color w:val="000000" w:themeColor="text1"/>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宋体"/>
          <w:bCs/>
          <w:color w:val="000000" w:themeColor="text1"/>
          <w:sz w:val="24"/>
          <w:szCs w:val="24"/>
          <w:highlight w:val="none"/>
        </w:rPr>
        <w:t xml:space="preserve">合同签订后支付30%，初验完成后付款30%，项目验收后支付30%，项目验收合格后根据考核结果30个工作日内付清尾款。考核标准由双方签订合同时另行约定。</w:t>
      </w:r>
      <w:r>
        <w:rPr>
          <w:color w:val="000000" w:themeColor="text1"/>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color w:val="000000" w:themeColor="text1"/>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color w:val="000000" w:themeColor="text1"/>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color w:val="000000" w:themeColor="text1"/>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color w:val="000000" w:themeColor="text1"/>
          <w:highlight w:val="non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r/>
    </w:p>
    <w:p>
      <w:pPr>
        <w:pStyle w:val="883"/>
        <w:numPr>
          <w:ilvl w:val="1"/>
          <w:numId w:val="6"/>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r/>
    </w:p>
    <w:p>
      <w:pPr>
        <w:pStyle w:val="883"/>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r/>
    </w:p>
    <w:p>
      <w:pPr>
        <w:pStyle w:val="883"/>
        <w:numPr>
          <w:ilvl w:val="1"/>
          <w:numId w:val="6"/>
        </w:numPr>
        <w:ind w:left="0" w:firstLine="525"/>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color w:val="000000" w:themeColor="text1"/>
          <w:highlight w:val="none"/>
        </w:rPr>
      </w:r>
      <w:r/>
    </w:p>
    <w:p>
      <w:pPr>
        <w:pStyle w:val="883"/>
        <w:numPr>
          <w:ilvl w:val="1"/>
          <w:numId w:val="6"/>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color w:val="000000" w:themeColor="text1"/>
          <w:highlight w:val="none"/>
        </w:rPr>
      </w:r>
      <w:r/>
    </w:p>
    <w:p>
      <w:pPr>
        <w:pStyle w:val="883"/>
        <w:numPr>
          <w:ilvl w:val="1"/>
          <w:numId w:val="6"/>
        </w:numPr>
        <w:ind w:left="0" w:firstLine="525"/>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pStyle w:val="883"/>
        <w:ind w:firstLine="480"/>
        <w:spacing w:line="360" w:lineRule="auto"/>
        <w:tabs>
          <w:tab w:val="left" w:pos="525" w:leader="none"/>
          <w:tab w:val="left" w:pos="945" w:leader="none"/>
        </w:tabs>
        <w:rPr>
          <w:rFonts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color w:val="000000" w:themeColor="text1"/>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color w:val="000000" w:themeColor="text1"/>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color w:val="000000" w:themeColor="text1"/>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color w:val="000000" w:themeColor="text1"/>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4" w:name="OLE_LINK2"/>
      <w:r>
        <w:rPr>
          <w:color w:val="000000" w:themeColor="text1"/>
          <w:highlight w:val="none"/>
        </w:rPr>
      </w:r>
      <w:bookmarkStart w:id="195" w:name="OLE_LINK1"/>
      <w:r>
        <w:rPr>
          <w:rFonts w:hint="eastAsia" w:ascii="宋体"/>
          <w:bCs/>
          <w:color w:val="000000" w:themeColor="text1"/>
          <w:sz w:val="24"/>
          <w:szCs w:val="24"/>
          <w:highlight w:val="none"/>
        </w:rPr>
        <w:t xml:space="preserve">《保障中小企业款项支付条例》（中华人民共和国国务院令第802号）</w:t>
      </w:r>
      <w:bookmarkEnd w:id="194"/>
      <w:r>
        <w:rPr>
          <w:color w:val="000000" w:themeColor="text1"/>
          <w:highlight w:val="none"/>
        </w:rPr>
      </w:r>
      <w:bookmarkEnd w:id="195"/>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color w:val="000000" w:themeColor="text1"/>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color w:val="000000" w:themeColor="text1"/>
          <w:highlight w:val="none"/>
        </w:rPr>
      </w: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6" w:name="_Toc120614281"/>
      <w:r>
        <w:rPr>
          <w:rFonts w:hint="eastAsia" w:ascii="黑体" w:hAnsi="黑体" w:eastAsia="黑体"/>
          <w:color w:val="000000" w:themeColor="text1"/>
          <w:sz w:val="36"/>
          <w:szCs w:val="36"/>
          <w:highlight w:val="none"/>
        </w:rPr>
        <w:t xml:space="preserve">第五章  评标方法与评标标准</w:t>
      </w:r>
      <w:r>
        <w:rPr>
          <w:color w:val="000000" w:themeColor="text1"/>
          <w:highlight w:val="none"/>
        </w:rPr>
      </w:r>
      <w:r/>
    </w:p>
    <w:p>
      <w:pPr>
        <w:pStyle w:val="971"/>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color w:val="000000" w:themeColor="text1"/>
          <w:highlight w:val="none"/>
        </w:rPr>
      </w:r>
      <w:r/>
    </w:p>
    <w:p>
      <w:pPr>
        <w:pStyle w:val="971"/>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color w:val="000000" w:themeColor="text1"/>
          <w:highlight w:val="none"/>
        </w:rPr>
      </w:r>
      <w:r/>
    </w:p>
    <w:p>
      <w:pPr>
        <w:pStyle w:val="971"/>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color w:val="000000" w:themeColor="text1"/>
          <w:highlight w:val="none"/>
        </w:rPr>
      </w:r>
      <w:r/>
    </w:p>
    <w:p>
      <w:pPr>
        <w:pStyle w:val="971"/>
        <w:spacing w:before="0" w:after="0" w:line="500" w:lineRule="exact"/>
        <w:rPr>
          <w:rStyle w:val="960"/>
          <w:rFonts w:ascii="Times New Roman" w:hAnsi="Times New Roman"/>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color w:val="000000" w:themeColor="text1"/>
          <w:highlight w:val="none"/>
        </w:rPr>
      </w:r>
      <w:r/>
    </w:p>
    <w:p>
      <w:pPr>
        <w:pStyle w:val="971"/>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000000" w:themeColor="text1"/>
          <w:highlight w:val="none"/>
        </w:rPr>
      </w:r>
      <w:r/>
    </w:p>
    <w:p>
      <w:pPr>
        <w:pStyle w:val="971"/>
        <w:spacing w:before="0" w:after="0" w:line="500" w:lineRule="exact"/>
        <w:rPr>
          <w:rFonts w:hint="eastAsia" w:cs="Arial"/>
          <w:color w:val="000000" w:themeColor="text1"/>
          <w:highlight w:val="none"/>
          <w:shd w:val="clear" w:color="ffffff" w:fill="d9d9d9"/>
        </w:rPr>
      </w:pPr>
      <w:r>
        <w:rPr>
          <w:rFonts w:hint="eastAsia" w:cs="Arial"/>
          <w:color w:val="000000" w:themeColor="text1"/>
          <w:highlight w:val="none"/>
          <w:shd w:val="clear" w:color="ffffff" w:fill="d9d9d9"/>
        </w:rPr>
      </w:r>
      <w:r>
        <w:rPr>
          <w:color w:val="000000" w:themeColor="text1"/>
          <w:highlight w:val="none"/>
        </w:rPr>
      </w:r>
      <w:r/>
    </w:p>
    <w:p>
      <w:pPr>
        <w:pStyle w:val="971"/>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color w:val="000000" w:themeColor="text1"/>
          <w:highlight w:val="none"/>
        </w:rPr>
      </w:r>
      <w:r/>
    </w:p>
    <w:p>
      <w:pPr>
        <w:pStyle w:val="971"/>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color w:val="000000" w:themeColor="text1"/>
          <w:highlight w:val="none"/>
        </w:rPr>
      </w:r>
      <w:r/>
    </w:p>
    <w:p>
      <w:pPr>
        <w:pStyle w:val="883"/>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color w:val="000000" w:themeColor="text1"/>
          <w:highlight w:val="none"/>
        </w:rPr>
      </w: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color w:val="000000" w:themeColor="text1"/>
          <w:highlight w:val="none"/>
        </w:rPr>
      </w: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color w:val="000000" w:themeColor="text1"/>
          <w:highlight w:val="none"/>
        </w:rPr>
      </w: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rPr>
          <w:color w:val="000000" w:themeColor="text1"/>
          <w:highlight w:val="none"/>
        </w:rPr>
      </w: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color w:val="000000" w:themeColor="text1"/>
          <w:highlight w:val="none"/>
        </w:rPr>
      </w: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883"/>
        <w:ind w:firstLine="480"/>
        <w:jc w:val="left"/>
        <w:spacing w:line="500" w:lineRule="exact"/>
        <w:rPr>
          <w:rFonts w:hint="eastAsia" w:ascii="宋体" w:hAnsi="宋体"/>
          <w:bCs/>
          <w:i/>
          <w:color w:val="000000" w:themeColor="text1"/>
          <w:sz w:val="28"/>
          <w:szCs w:val="28"/>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883"/>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color w:val="000000" w:themeColor="text1"/>
          <w:highlight w:val="none"/>
        </w:rPr>
      </w:r>
      <w:r/>
    </w:p>
    <w:p>
      <w:pPr>
        <w:pStyle w:val="883"/>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rPr>
          <w:color w:val="000000" w:themeColor="text1"/>
          <w:highlight w:val="none"/>
        </w:rPr>
      </w:r>
      <w:r/>
    </w:p>
    <w:p>
      <w:pPr>
        <w:pStyle w:val="971"/>
        <w:ind w:firstLine="360"/>
        <w:spacing w:before="0" w:after="0" w:line="500" w:lineRule="exact"/>
        <w:rPr>
          <w:rFonts w:hint="eastAsia" w:ascii="宋体" w:hAnsi="宋体"/>
          <w:b/>
          <w:color w:val="000000" w:themeColor="text1"/>
          <w:sz w:val="28"/>
          <w:szCs w:val="28"/>
          <w:highlight w:val="none"/>
        </w:rPr>
      </w:pPr>
      <w:r>
        <w:rPr>
          <w:rFonts w:hint="eastAsia" w:ascii="宋体" w:hAnsi="宋体"/>
          <w:bCs/>
          <w:color w:val="000000" w:themeColor="text1"/>
          <w:sz w:val="24"/>
          <w:szCs w:val="24"/>
          <w:highlight w:val="none"/>
        </w:rPr>
        <w:t xml:space="preserve">1000000×[1-（10%+20%）]=700000元</w:t>
      </w:r>
      <w:r>
        <w:rPr>
          <w:rFonts w:ascii="宋体" w:hAnsi="宋体"/>
          <w:color w:val="000000" w:themeColor="text1"/>
          <w:highlight w:val="none"/>
          <w:shd w:val="clear" w:color="ffffff" w:fill="d9d9d9"/>
        </w:rPr>
        <w:br w:type="page" w:clear="all"/>
      </w:r>
      <w:r>
        <w:rPr>
          <w:rFonts w:hint="eastAsia" w:ascii="宋体" w:hAnsi="宋体"/>
          <w:b/>
          <w:color w:val="000000" w:themeColor="text1"/>
          <w:sz w:val="28"/>
          <w:szCs w:val="28"/>
          <w:highlight w:val="none"/>
        </w:rPr>
        <w:t xml:space="preserve">二、评分标准</w:t>
      </w:r>
      <w:r>
        <w:rPr>
          <w:color w:val="000000" w:themeColor="text1"/>
          <w:highlight w:val="none"/>
        </w:rPr>
      </w:r>
      <w:r/>
    </w:p>
    <w:p>
      <w:pPr>
        <w:pStyle w:val="971"/>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color w:val="000000" w:themeColor="text1"/>
          <w:highlight w:val="none"/>
        </w:rPr>
      </w:r>
      <w:r/>
    </w:p>
    <w:p>
      <w:pPr>
        <w:pStyle w:val="971"/>
        <w:ind w:firstLine="42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w:t>
      </w:r>
      <w:r>
        <w:rPr>
          <w:rFonts w:hint="eastAsia" w:ascii="宋体" w:hAnsi="宋体"/>
          <w:b/>
          <w:color w:val="000000" w:themeColor="text1"/>
          <w:sz w:val="28"/>
          <w:szCs w:val="28"/>
          <w:highlight w:val="none"/>
        </w:rPr>
        <w:t xml:space="preserve">商务部分（</w:t>
      </w:r>
      <w:r>
        <w:rPr>
          <w:rFonts w:hint="eastAsia" w:ascii="宋体" w:hAnsi="宋体"/>
          <w:b/>
          <w:color w:val="000000" w:themeColor="text1"/>
          <w:sz w:val="28"/>
          <w:szCs w:val="28"/>
          <w:highlight w:val="none"/>
          <w:lang w:val="en-US" w:eastAsia="zh-CN"/>
        </w:rPr>
        <w:t xml:space="preserve">47</w:t>
      </w:r>
      <w:r>
        <w:rPr>
          <w:rFonts w:hint="eastAsia" w:ascii="宋体" w:hAnsi="宋体"/>
          <w:b/>
          <w:color w:val="000000" w:themeColor="text1"/>
          <w:sz w:val="28"/>
          <w:szCs w:val="28"/>
          <w:highlight w:val="none"/>
        </w:rPr>
        <w:t xml:space="preserve">分）</w:t>
      </w:r>
      <w:r>
        <w:rPr>
          <w:color w:val="000000" w:themeColor="text1"/>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rPr>
          <w:color w:val="000000" w:themeColor="text1"/>
          <w:highlight w:val="none"/>
        </w:rPr>
      </w:r>
      <w:r/>
    </w:p>
    <w:p>
      <w:pPr>
        <w:pStyle w:val="883"/>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themeColor="text1"/>
          <w:highlight w:val="none"/>
        </w:rPr>
      </w:r>
      <w:r/>
    </w:p>
    <w:p>
      <w:pPr>
        <w:pStyle w:val="883"/>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color w:val="000000" w:themeColor="text1"/>
          <w:highlight w:val="none"/>
        </w:rPr>
      </w: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因落实政府采购政策进行价格调整的，以调整后的价格计算评标基准价和投标报价。关于价格扣除详见本章第二部分“一、落实政府采购政策的价格调整”。</w:t>
      </w:r>
      <w:r>
        <w:rPr>
          <w:color w:val="000000" w:themeColor="text1"/>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w:t>
      </w:r>
      <w:r>
        <w:rPr>
          <w:rFonts w:hint="eastAsia" w:ascii="宋体" w:hAnsi="宋体"/>
          <w:b/>
          <w:bCs/>
          <w:color w:val="000000" w:themeColor="text1"/>
          <w:sz w:val="24"/>
          <w:szCs w:val="24"/>
          <w:highlight w:val="none"/>
          <w:lang w:val="en-US" w:eastAsia="zh-CN"/>
        </w:rPr>
        <w:t xml:space="preserve">9</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以下人员不得兼任。</w:t>
      </w:r>
      <w:r>
        <w:rPr>
          <w:color w:val="000000" w:themeColor="text1"/>
          <w:highlight w:val="none"/>
        </w:rPr>
      </w:r>
      <w:r/>
    </w:p>
    <w:p>
      <w:pPr>
        <w:pStyle w:val="883"/>
        <w:ind w:firstLine="480"/>
        <w:spacing w:line="500" w:lineRule="exact"/>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2.1</w:t>
      </w:r>
      <w:r>
        <w:rPr>
          <w:rFonts w:hint="eastAsia" w:ascii="宋体" w:hAnsi="宋体"/>
          <w:color w:val="000000" w:themeColor="text1"/>
          <w:sz w:val="24"/>
          <w:highlight w:val="none"/>
        </w:rPr>
        <w:t xml:space="preserve">  项目负责人（4分）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项目负责人具有信息系统项目管理师（高级）</w:t>
      </w:r>
      <w:r>
        <w:rPr>
          <w:rFonts w:hint="eastAsia" w:ascii="宋体" w:hAnsi="宋体"/>
          <w:color w:val="000000" w:themeColor="text1"/>
          <w:sz w:val="24"/>
          <w:highlight w:val="none"/>
          <w:lang w:val="en-US" w:eastAsia="zh-CN"/>
        </w:rPr>
        <w:t xml:space="preserve">计算机技术与软件专业技术资格（水平）考试</w:t>
      </w:r>
      <w:r>
        <w:rPr>
          <w:rFonts w:hint="eastAsia" w:ascii="宋体" w:hAnsi="宋体"/>
          <w:color w:val="000000" w:themeColor="text1"/>
          <w:sz w:val="24"/>
          <w:highlight w:val="none"/>
        </w:rPr>
        <w:t xml:space="preserve">证书</w:t>
      </w:r>
      <w:r>
        <w:rPr>
          <w:rFonts w:hint="eastAsia" w:ascii="宋体" w:hAnsi="宋体"/>
          <w:color w:val="000000" w:themeColor="text1"/>
          <w:sz w:val="24"/>
          <w:highlight w:val="none"/>
        </w:rPr>
        <w:t xml:space="preserve">、ITSS服务项目经理证书、</w:t>
      </w:r>
      <w:r>
        <w:rPr>
          <w:rFonts w:hint="eastAsia" w:ascii="宋体" w:hAnsi="宋体"/>
          <w:color w:val="000000" w:themeColor="text1"/>
          <w:sz w:val="24"/>
          <w:highlight w:val="none"/>
        </w:rPr>
        <w:t xml:space="preserve">网络工程师</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中级）计算机技术与软件专业技术资格</w:t>
      </w:r>
      <w:r>
        <w:rPr>
          <w:rFonts w:hint="eastAsia" w:ascii="宋体" w:hAnsi="宋体"/>
          <w:color w:val="000000" w:themeColor="text1"/>
          <w:sz w:val="24"/>
          <w:highlight w:val="none"/>
          <w:lang w:val="en-US" w:eastAsia="zh-CN"/>
        </w:rPr>
        <w:t xml:space="preserve">（水平）考试</w:t>
      </w:r>
      <w:r>
        <w:rPr>
          <w:rFonts w:hint="eastAsia" w:ascii="宋体" w:hAnsi="宋体"/>
          <w:color w:val="000000" w:themeColor="text1"/>
          <w:sz w:val="24"/>
          <w:highlight w:val="none"/>
        </w:rPr>
        <w:t xml:space="preserve">证书</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系统规划与管理师（高级）</w:t>
      </w:r>
      <w:r>
        <w:rPr>
          <w:rFonts w:hint="eastAsia" w:ascii="宋体" w:hAnsi="宋体"/>
          <w:color w:val="000000" w:themeColor="text1"/>
          <w:sz w:val="24"/>
          <w:highlight w:val="none"/>
          <w:lang w:val="en-US" w:eastAsia="zh-CN"/>
        </w:rPr>
        <w:t xml:space="preserve">技术与软件专业技术资格（水平）考试</w:t>
      </w:r>
      <w:r>
        <w:rPr>
          <w:rFonts w:hint="eastAsia" w:ascii="宋体" w:hAnsi="宋体"/>
          <w:color w:val="000000" w:themeColor="text1"/>
          <w:sz w:val="24"/>
          <w:highlight w:val="none"/>
        </w:rPr>
        <w:t xml:space="preserve">证书</w:t>
      </w:r>
      <w:r>
        <w:rPr>
          <w:rFonts w:hint="eastAsia" w:ascii="宋体" w:hAnsi="宋体"/>
          <w:color w:val="000000" w:themeColor="text1"/>
          <w:sz w:val="24"/>
          <w:highlight w:val="none"/>
        </w:rPr>
        <w:t xml:space="preserve">，每有1个得1分，最高</w:t>
      </w: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rPr>
        <w:t xml:space="preserve">分；须提供相关证书扫描件，否则不得分。</w:t>
      </w:r>
      <w:r>
        <w:rPr>
          <w:color w:val="000000" w:themeColor="text1"/>
          <w:highlight w:val="none"/>
        </w:rPr>
      </w:r>
      <w:r/>
    </w:p>
    <w:p>
      <w:pPr>
        <w:pStyle w:val="883"/>
        <w:ind w:firstLine="480"/>
        <w:spacing w:line="50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2.2  技术负责人（3分）：技术负责人具有系统架构设计师</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高级）</w:t>
      </w:r>
      <w:r>
        <w:rPr>
          <w:rFonts w:hint="eastAsia" w:ascii="宋体" w:hAnsi="宋体"/>
          <w:color w:val="000000" w:themeColor="text1"/>
          <w:sz w:val="24"/>
          <w:highlight w:val="none"/>
          <w:lang w:val="en-US" w:eastAsia="zh-CN"/>
        </w:rPr>
        <w:t xml:space="preserve">计算机技术与软件专业技术资格（水平）考试</w:t>
      </w:r>
      <w:r>
        <w:rPr>
          <w:rFonts w:hint="eastAsia" w:ascii="宋体" w:hAnsi="宋体"/>
          <w:color w:val="000000" w:themeColor="text1"/>
          <w:sz w:val="24"/>
          <w:highlight w:val="none"/>
        </w:rPr>
        <w:t xml:space="preserve">证书</w:t>
      </w:r>
      <w:r>
        <w:rPr>
          <w:rFonts w:hint="eastAsia" w:ascii="宋体" w:hAnsi="宋体" w:eastAsia="宋体" w:cs="Times New Roman"/>
          <w:color w:val="000000" w:themeColor="text1"/>
          <w:sz w:val="24"/>
          <w:highlight w:val="none"/>
        </w:rPr>
        <w:t xml:space="preserve">、数据库系统工程师</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中级）</w:t>
      </w:r>
      <w:r>
        <w:rPr>
          <w:rFonts w:hint="eastAsia" w:ascii="宋体" w:hAnsi="宋体"/>
          <w:color w:val="000000" w:themeColor="text1"/>
          <w:sz w:val="24"/>
          <w:highlight w:val="none"/>
          <w:lang w:val="en-US" w:eastAsia="zh-CN"/>
        </w:rPr>
        <w:t xml:space="preserve">计算机技术与软件专业技术资格（水平）考试</w:t>
      </w:r>
      <w:r>
        <w:rPr>
          <w:rFonts w:hint="eastAsia" w:ascii="宋体" w:hAnsi="宋体"/>
          <w:color w:val="000000" w:themeColor="text1"/>
          <w:sz w:val="24"/>
          <w:highlight w:val="none"/>
        </w:rPr>
        <w:t xml:space="preserve">证书</w:t>
      </w:r>
      <w:r>
        <w:rPr>
          <w:rFonts w:hint="eastAsia" w:ascii="宋体" w:hAnsi="宋体" w:eastAsia="宋体" w:cs="Times New Roman"/>
          <w:color w:val="000000" w:themeColor="text1"/>
          <w:sz w:val="24"/>
          <w:highlight w:val="none"/>
        </w:rPr>
        <w:t xml:space="preserve">、系统分析师</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高级）</w:t>
      </w:r>
      <w:r>
        <w:rPr>
          <w:rFonts w:hint="eastAsia" w:ascii="宋体" w:hAnsi="宋体"/>
          <w:color w:val="000000" w:themeColor="text1"/>
          <w:sz w:val="24"/>
          <w:highlight w:val="none"/>
          <w:lang w:val="en-US" w:eastAsia="zh-CN"/>
        </w:rPr>
        <w:t xml:space="preserve">计算机技术与软件专业技术资格（水平）考试</w:t>
      </w:r>
      <w:r>
        <w:rPr>
          <w:rFonts w:hint="eastAsia" w:ascii="宋体" w:hAnsi="宋体"/>
          <w:color w:val="000000" w:themeColor="text1"/>
          <w:sz w:val="24"/>
          <w:highlight w:val="none"/>
        </w:rPr>
        <w:t xml:space="preserve">证书</w:t>
      </w:r>
      <w:r>
        <w:rPr>
          <w:rFonts w:hint="eastAsia" w:ascii="宋体" w:hAnsi="宋体" w:eastAsia="宋体" w:cs="Times New Roman"/>
          <w:color w:val="000000" w:themeColor="text1"/>
          <w:sz w:val="24"/>
          <w:highlight w:val="none"/>
        </w:rPr>
        <w:t xml:space="preserve">，每提供一类证书得1分，最高得3分</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须提供相关证书扫描件，否则不得分。</w:t>
      </w:r>
      <w:r>
        <w:rPr>
          <w:color w:val="000000" w:themeColor="text1"/>
          <w:highlight w:val="none"/>
        </w:rPr>
      </w:r>
      <w:r/>
    </w:p>
    <w:p>
      <w:pPr>
        <w:pStyle w:val="883"/>
        <w:ind w:firstLine="480"/>
        <w:spacing w:line="360" w:lineRule="auto"/>
        <w:tabs>
          <w:tab w:val="left" w:pos="945" w:leader="none"/>
          <w:tab w:val="left" w:pos="1155" w:leader="none"/>
        </w:tabs>
        <w:rPr>
          <w:rFonts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2.3  项目组成员（2分）：</w:t>
      </w:r>
      <w:r>
        <w:rPr>
          <w:rFonts w:hint="eastAsia" w:ascii="宋体" w:hAnsi="宋体"/>
          <w:color w:val="000000" w:themeColor="text1"/>
          <w:sz w:val="24"/>
          <w:szCs w:val="24"/>
          <w:highlight w:val="none"/>
        </w:rPr>
        <w:t xml:space="preserve">除项目经理和</w:t>
      </w:r>
      <w:r>
        <w:rPr>
          <w:rFonts w:hint="eastAsia" w:ascii="宋体" w:hAnsi="宋体"/>
          <w:color w:val="000000" w:themeColor="text1"/>
          <w:sz w:val="24"/>
          <w:szCs w:val="24"/>
          <w:highlight w:val="none"/>
        </w:rPr>
        <w:t xml:space="preserve">项目技术负责人外，</w:t>
      </w:r>
      <w:r>
        <w:rPr>
          <w:rFonts w:hint="eastAsia" w:ascii="宋体" w:hAnsi="宋体"/>
          <w:color w:val="000000" w:themeColor="text1"/>
          <w:sz w:val="24"/>
          <w:szCs w:val="24"/>
          <w:highlight w:val="none"/>
          <w:lang w:val="en-US" w:eastAsia="zh-CN"/>
        </w:rPr>
        <w:t xml:space="preserve">项目组</w:t>
      </w:r>
      <w:r>
        <w:rPr>
          <w:rFonts w:hint="eastAsia" w:ascii="宋体" w:hAnsi="宋体"/>
          <w:color w:val="000000" w:themeColor="text1"/>
          <w:sz w:val="24"/>
          <w:szCs w:val="24"/>
          <w:highlight w:val="none"/>
          <w:lang w:val="en-US" w:eastAsia="zh-CN"/>
        </w:rPr>
        <w:t xml:space="preserve">成员</w:t>
      </w:r>
      <w:r>
        <w:rPr>
          <w:rFonts w:hint="eastAsia" w:ascii="宋体" w:hAnsi="宋体"/>
          <w:color w:val="000000" w:themeColor="text1"/>
          <w:sz w:val="24"/>
          <w:highlight w:val="none"/>
          <w:lang w:val="en-US" w:eastAsia="zh-CN"/>
        </w:rPr>
        <w:t xml:space="preserve">具有系统集成项目管理工程师（中级）</w:t>
      </w:r>
      <w:r>
        <w:rPr>
          <w:rFonts w:hint="eastAsia" w:ascii="宋体" w:hAnsi="宋体"/>
          <w:color w:val="000000" w:themeColor="text1"/>
          <w:sz w:val="24"/>
          <w:highlight w:val="none"/>
          <w:lang w:val="en-US" w:eastAsia="zh-CN"/>
        </w:rPr>
        <w:t xml:space="preserve">计算机技术与软件专业技术资格（水平）考试</w:t>
      </w:r>
      <w:r>
        <w:rPr>
          <w:rFonts w:hint="eastAsia" w:ascii="宋体" w:hAnsi="宋体"/>
          <w:color w:val="000000" w:themeColor="text1"/>
          <w:sz w:val="24"/>
          <w:highlight w:val="none"/>
        </w:rPr>
        <w:t xml:space="preserve">证书</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民用无人驾驶航空器操控员执照-中型无人机操控员执照：超视距</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多旋翼</w:t>
      </w:r>
      <w:r>
        <w:rPr>
          <w:rFonts w:hint="eastAsia" w:ascii="宋体" w:hAnsi="宋体"/>
          <w:color w:val="000000" w:themeColor="text1"/>
          <w:sz w:val="24"/>
          <w:highlight w:val="none"/>
          <w:lang w:val="en-US" w:eastAsia="zh-CN"/>
        </w:rPr>
        <w:t xml:space="preserve">，以上证书每提供1个得1分</w:t>
      </w:r>
      <w:r>
        <w:rPr>
          <w:rFonts w:hint="eastAsia"/>
          <w:color w:val="000000" w:themeColor="text1"/>
          <w:sz w:val="24"/>
          <w:szCs w:val="24"/>
          <w:highlight w:val="none"/>
        </w:rPr>
        <w:t xml:space="preserve">（一人多证的不重复得分）</w:t>
      </w:r>
      <w:r>
        <w:rPr>
          <w:rFonts w:hint="eastAsia"/>
          <w:color w:val="000000" w:themeColor="text1"/>
          <w:sz w:val="24"/>
          <w:szCs w:val="24"/>
          <w:highlight w:val="none"/>
          <w:lang w:eastAsia="zh-CN"/>
        </w:rPr>
        <w:t xml:space="preserve">，</w:t>
      </w:r>
      <w:r>
        <w:rPr>
          <w:rFonts w:hint="eastAsia" w:ascii="宋体" w:hAnsi="宋体"/>
          <w:color w:val="000000" w:themeColor="text1"/>
          <w:sz w:val="24"/>
          <w:highlight w:val="none"/>
          <w:lang w:val="en-US" w:eastAsia="zh-CN"/>
        </w:rPr>
        <w:t xml:space="preserve">本项最高2分。</w:t>
      </w:r>
      <w:r>
        <w:rPr>
          <w:color w:val="000000" w:themeColor="text1"/>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w:t>
      </w:r>
      <w:r>
        <w:rPr>
          <w:rFonts w:hint="eastAsia" w:ascii="宋体" w:hAnsi="宋体"/>
          <w:b/>
          <w:bCs/>
          <w:color w:val="000000" w:themeColor="text1"/>
          <w:sz w:val="24"/>
          <w:szCs w:val="24"/>
          <w:highlight w:val="none"/>
          <w:lang w:val="en-US" w:eastAsia="zh-CN"/>
        </w:rPr>
        <w:t xml:space="preserve">5</w:t>
      </w:r>
      <w:r>
        <w:rPr>
          <w:rFonts w:hint="eastAsia" w:ascii="宋体" w:hAnsi="宋体"/>
          <w:b/>
          <w:bCs/>
          <w:color w:val="000000" w:themeColor="text1"/>
          <w:sz w:val="24"/>
          <w:szCs w:val="24"/>
          <w:highlight w:val="none"/>
        </w:rPr>
        <w:t xml:space="preserve">分）：</w:t>
      </w:r>
      <w:r>
        <w:rPr>
          <w:color w:val="000000" w:themeColor="text1"/>
          <w:highlight w:val="none"/>
        </w:rPr>
      </w: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  业绩（</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分）：投标人提供自202</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年1月1日以来</w:t>
      </w:r>
      <w:r>
        <w:rPr>
          <w:rFonts w:hint="eastAsia" w:ascii="宋体" w:hAnsi="宋体" w:cs="宋体"/>
          <w:color w:val="000000" w:themeColor="text1"/>
          <w:sz w:val="24"/>
          <w:szCs w:val="24"/>
          <w:highlight w:val="none"/>
        </w:rPr>
        <w:t xml:space="preserve">（以合同签订日期为准）</w:t>
      </w:r>
      <w:r>
        <w:rPr>
          <w:rFonts w:hint="eastAsia" w:ascii="宋体" w:hAnsi="宋体" w:eastAsia="宋体" w:cs="宋体"/>
          <w:color w:val="000000" w:themeColor="text1"/>
          <w:sz w:val="24"/>
          <w:szCs w:val="24"/>
          <w:highlight w:val="none"/>
        </w:rPr>
        <w:t xml:space="preserve">与本项目同类项目案例，</w:t>
      </w:r>
      <w:r>
        <w:rPr>
          <w:rFonts w:hint="eastAsia" w:ascii="宋体" w:hAnsi="宋体"/>
          <w:color w:val="000000" w:themeColor="text1"/>
          <w:sz w:val="24"/>
          <w:highlight w:val="none"/>
        </w:rPr>
        <w:t xml:space="preserve">每提供一个案例得</w:t>
      </w: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分，最高</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w:t>
      </w:r>
      <w:r>
        <w:rPr>
          <w:rFonts w:hint="eastAsia" w:ascii="宋体" w:hAnsi="宋体" w:cs="宋体"/>
          <w:color w:val="000000" w:themeColor="text1"/>
          <w:sz w:val="24"/>
          <w:szCs w:val="24"/>
          <w:highlight w:val="none"/>
        </w:rPr>
        <w:t xml:space="preserve">合同扫描件上传至投标系统中，否则不得分。</w:t>
      </w:r>
      <w:r>
        <w:rPr>
          <w:color w:val="000000" w:themeColor="text1"/>
          <w:highlight w:val="none"/>
        </w:rPr>
      </w:r>
      <w:r/>
    </w:p>
    <w:p>
      <w:pPr>
        <w:pStyle w:val="883"/>
        <w:ind w:firstLine="480"/>
        <w:spacing w:line="500" w:lineRule="exact"/>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3.2  </w:t>
      </w:r>
      <w:r>
        <w:rPr>
          <w:rFonts w:hint="eastAsia" w:ascii="宋体" w:hAnsi="宋体" w:cs="宋体"/>
          <w:color w:val="000000" w:themeColor="text1"/>
          <w:sz w:val="24"/>
          <w:highlight w:val="none"/>
        </w:rPr>
        <w:t xml:space="preserve">认证证书（2分）：</w:t>
      </w:r>
      <w:r>
        <w:rPr>
          <w:rFonts w:hint="eastAsia" w:ascii="宋体" w:hAnsi="宋体"/>
          <w:color w:val="000000" w:themeColor="text1"/>
          <w:sz w:val="24"/>
          <w:highlight w:val="none"/>
        </w:rPr>
        <w:t xml:space="preserve">投标人具有效期内的质量管理体系认证证书得1分</w:t>
      </w:r>
      <w:r>
        <w:rPr>
          <w:rFonts w:hint="eastAsia" w:ascii="宋体" w:hAnsi="宋体"/>
          <w:color w:val="000000" w:themeColor="text1"/>
          <w:sz w:val="24"/>
          <w:highlight w:val="none"/>
          <w:lang w:eastAsia="zh-CN"/>
        </w:rPr>
        <w:t xml:space="preserve">，</w:t>
      </w:r>
      <w:r>
        <w:rPr>
          <w:rFonts w:hint="eastAsia" w:ascii="宋体" w:hAnsi="宋体"/>
          <w:bCs/>
          <w:color w:val="000000" w:themeColor="text1"/>
          <w:sz w:val="24"/>
          <w:highlight w:val="none"/>
        </w:rPr>
        <w:t xml:space="preserve">信息技术服务管理体系认证证书</w:t>
      </w:r>
      <w:r>
        <w:rPr>
          <w:rFonts w:hint="eastAsia" w:ascii="宋体" w:hAnsi="宋体"/>
          <w:bCs/>
          <w:color w:val="000000" w:themeColor="text1"/>
          <w:sz w:val="24"/>
          <w:highlight w:val="none"/>
          <w:lang w:val="en-US" w:eastAsia="zh-CN"/>
        </w:rPr>
        <w:t xml:space="preserve">得1分</w:t>
      </w:r>
      <w:r>
        <w:rPr>
          <w:rFonts w:hint="eastAsia" w:ascii="宋体" w:hAnsi="宋体"/>
          <w:bCs/>
          <w:color w:val="000000" w:themeColor="text1"/>
          <w:sz w:val="24"/>
          <w:highlight w:val="none"/>
        </w:rPr>
        <w:t xml:space="preserve">，</w:t>
      </w:r>
      <w:r>
        <w:rPr>
          <w:rFonts w:hint="eastAsia" w:ascii="宋体" w:hAnsi="宋体"/>
          <w:color w:val="000000" w:themeColor="text1"/>
          <w:sz w:val="24"/>
          <w:highlight w:val="none"/>
        </w:rPr>
        <w:t xml:space="preserve">投标时需提供相关证书扫描件否则不得分，本项最高得</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分。</w:t>
      </w:r>
      <w:r>
        <w:rPr>
          <w:color w:val="000000" w:themeColor="text1"/>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lang w:val="en-US" w:eastAsia="zh-CN"/>
        </w:rPr>
        <w:t xml:space="preserve">产品</w:t>
      </w:r>
      <w:r>
        <w:rPr>
          <w:rFonts w:hint="eastAsia" w:ascii="宋体" w:hAnsi="宋体"/>
          <w:b/>
          <w:bCs/>
          <w:color w:val="000000" w:themeColor="text1"/>
          <w:sz w:val="24"/>
          <w:szCs w:val="24"/>
          <w:highlight w:val="none"/>
          <w:lang w:val="en-US" w:eastAsia="zh-CN"/>
        </w:rPr>
        <w:t xml:space="preserve">性能</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11</w:t>
      </w:r>
      <w:r>
        <w:rPr>
          <w:rFonts w:hint="eastAsia" w:ascii="宋体" w:hAnsi="宋体"/>
          <w:b/>
          <w:bCs/>
          <w:color w:val="000000" w:themeColor="text1"/>
          <w:sz w:val="24"/>
          <w:szCs w:val="24"/>
          <w:highlight w:val="none"/>
        </w:rPr>
        <w:t xml:space="preserve">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4.1 5G高清视频通话接入前置网关（3分）：支持运营商IMS网络对接，使用账号、密钥进行注册认证，得1分；支持5G音视频呼入，接收运营商的5G音视频呼入指令，得1分；支持H.264视频编码格式、支持D1、720P、1080P等分辨率的视频流解码、支持25fps、30fps等视频帧率，得1分。</w:t>
      </w:r>
      <w:r>
        <w:rPr>
          <w:rFonts w:hint="eastAsia" w:ascii="宋体" w:hAnsi="宋体"/>
          <w:color w:val="000000" w:themeColor="text1"/>
          <w:sz w:val="24"/>
          <w:szCs w:val="24"/>
          <w:highlight w:val="none"/>
        </w:rPr>
        <w:t xml:space="preserve">（</w:t>
      </w:r>
      <w:r>
        <w:rPr>
          <w:rFonts w:hint="eastAsia" w:ascii="宋体" w:hAnsi="宋体" w:eastAsia="宋体" w:cs="Times New Roman"/>
          <w:color w:val="000000" w:themeColor="text1"/>
          <w:sz w:val="24"/>
          <w:highlight w:val="none"/>
          <w:lang w:val="en-US" w:eastAsia="zh-CN"/>
        </w:rPr>
        <w:t xml:space="preserve">须提供</w:t>
      </w:r>
      <w:r>
        <w:rPr>
          <w:rFonts w:ascii="宋体" w:hAnsi="宋体" w:eastAsia="宋体" w:cs="Times New Roman"/>
          <w:color w:val="000000" w:themeColor="text1"/>
          <w:sz w:val="24"/>
          <w:highlight w:val="none"/>
          <w:lang w:val="en-US" w:eastAsia="zh-CN"/>
        </w:rPr>
        <w:t xml:space="preserve">具有CMA资质的检测机构出具的带有CMA标识的检测报告</w:t>
      </w:r>
      <w:r>
        <w:rPr>
          <w:rFonts w:hint="eastAsia" w:ascii="宋体" w:hAnsi="宋体" w:eastAsia="宋体" w:cs="Times New Roman"/>
          <w:color w:val="000000" w:themeColor="text1"/>
          <w:sz w:val="24"/>
          <w:highlight w:val="none"/>
          <w:lang w:val="en-US" w:eastAsia="zh-CN"/>
        </w:rPr>
        <w:t xml:space="preserve">扫描件</w:t>
      </w:r>
      <w:r>
        <w:rPr>
          <w:rFonts w:hint="eastAsia" w:ascii="宋体" w:hAnsi="宋体"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不提供不得分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3"/>
        <w:ind w:firstLine="566"/>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4.2 ATCA机箱（1分）：ATCA平台的处理机、交换网络、电源等必须采用热备份结构，具有告警、故障自动诊断、倒换等功能，得1分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w:t>
      </w:r>
      <w:r>
        <w:rPr>
          <w:rFonts w:hint="eastAsia" w:ascii="宋体" w:hAnsi="宋体" w:eastAsia="宋体" w:cs="Times New Roman"/>
          <w:color w:val="000000" w:themeColor="text1"/>
          <w:sz w:val="24"/>
          <w:highlight w:val="none"/>
          <w:lang w:val="en-US" w:eastAsia="zh-CN"/>
        </w:rPr>
        <w:t xml:space="preserve">须提供</w:t>
      </w:r>
      <w:r>
        <w:rPr>
          <w:rFonts w:ascii="宋体" w:hAnsi="宋体" w:eastAsia="宋体" w:cs="Times New Roman"/>
          <w:color w:val="000000" w:themeColor="text1"/>
          <w:sz w:val="24"/>
          <w:highlight w:val="none"/>
          <w:lang w:val="en-US" w:eastAsia="zh-CN"/>
        </w:rPr>
        <w:t xml:space="preserve">具有CMA资质的检测机构出具的带有CMA标识的检测报告</w:t>
      </w:r>
      <w:r>
        <w:rPr>
          <w:rFonts w:hint="eastAsia" w:ascii="宋体" w:hAnsi="宋体" w:eastAsia="宋体" w:cs="Times New Roman"/>
          <w:color w:val="000000" w:themeColor="text1"/>
          <w:sz w:val="24"/>
          <w:highlight w:val="none"/>
          <w:lang w:val="en-US" w:eastAsia="zh-CN"/>
        </w:rPr>
        <w:t xml:space="preserve">扫描件</w:t>
      </w:r>
      <w:r>
        <w:rPr>
          <w:rFonts w:hint="eastAsia" w:ascii="宋体" w:hAnsi="宋体"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不提供不得分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3"/>
        <w:ind w:firstLine="566"/>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4.3 MCU主控板（1分）：调度台操作功能、组呼功能、电话会议功能、用户功能、交换功能符合数字程控调度机技术要求和测试方法：YD/T 954-1998相关技术要求，得1分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w:t>
      </w:r>
      <w:r>
        <w:rPr>
          <w:rFonts w:hint="eastAsia" w:ascii="宋体" w:hAnsi="宋体" w:eastAsia="宋体" w:cs="Times New Roman"/>
          <w:color w:val="000000" w:themeColor="text1"/>
          <w:sz w:val="24"/>
          <w:highlight w:val="none"/>
          <w:lang w:val="en-US" w:eastAsia="zh-CN"/>
        </w:rPr>
        <w:t xml:space="preserve">须提供</w:t>
      </w:r>
      <w:r>
        <w:rPr>
          <w:rFonts w:ascii="宋体" w:hAnsi="宋体" w:eastAsia="宋体" w:cs="Times New Roman"/>
          <w:color w:val="000000" w:themeColor="text1"/>
          <w:sz w:val="24"/>
          <w:highlight w:val="none"/>
          <w:lang w:val="en-US" w:eastAsia="zh-CN"/>
        </w:rPr>
        <w:t xml:space="preserve">具有CMA资质的检测机构出具的带有CMA标识的检测报告</w:t>
      </w:r>
      <w:r>
        <w:rPr>
          <w:rFonts w:hint="eastAsia" w:ascii="宋体" w:hAnsi="宋体" w:eastAsia="宋体" w:cs="Times New Roman"/>
          <w:color w:val="000000" w:themeColor="text1"/>
          <w:sz w:val="24"/>
          <w:highlight w:val="none"/>
          <w:lang w:val="en-US" w:eastAsia="zh-CN"/>
        </w:rPr>
        <w:t xml:space="preserve">扫描件</w:t>
      </w:r>
      <w:r>
        <w:rPr>
          <w:rFonts w:hint="eastAsia" w:ascii="宋体" w:hAnsi="宋体"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不提供不得分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4.4 AIB模拟接口板（1分）：用户线双音频接收、传送符合YD/T954-1998 5.4.2.2频偏±2.0%以内可靠接收，频偏±3.0%以上保证不接收，(-4~-23)dBm:可靠接收，双频电平差不大于6dB；可靠接收≤-31dBm:保证不接收，时长:≥(30~40)ms，得1分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w:t>
      </w:r>
      <w:r>
        <w:rPr>
          <w:rFonts w:hint="eastAsia" w:ascii="宋体" w:hAnsi="宋体" w:eastAsia="宋体" w:cs="Times New Roman"/>
          <w:color w:val="000000" w:themeColor="text1"/>
          <w:sz w:val="24"/>
          <w:highlight w:val="none"/>
          <w:lang w:val="en-US" w:eastAsia="zh-CN"/>
        </w:rPr>
        <w:t xml:space="preserve">须提供</w:t>
      </w:r>
      <w:r>
        <w:rPr>
          <w:rFonts w:ascii="宋体" w:hAnsi="宋体" w:eastAsia="宋体" w:cs="Times New Roman"/>
          <w:color w:val="000000" w:themeColor="text1"/>
          <w:sz w:val="24"/>
          <w:highlight w:val="none"/>
          <w:lang w:val="en-US" w:eastAsia="zh-CN"/>
        </w:rPr>
        <w:t xml:space="preserve">具有CMA资质的检测机构出具的带有CMA标识的检测报告</w:t>
      </w:r>
      <w:r>
        <w:rPr>
          <w:rFonts w:hint="eastAsia" w:ascii="宋体" w:hAnsi="宋体" w:eastAsia="宋体" w:cs="Times New Roman"/>
          <w:color w:val="000000" w:themeColor="text1"/>
          <w:sz w:val="24"/>
          <w:highlight w:val="none"/>
          <w:lang w:val="en-US" w:eastAsia="zh-CN"/>
        </w:rPr>
        <w:t xml:space="preserve">扫描件</w:t>
      </w:r>
      <w:r>
        <w:rPr>
          <w:rFonts w:hint="eastAsia" w:ascii="宋体" w:hAnsi="宋体"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不提供不得分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3"/>
        <w:ind w:firstLine="566"/>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4.5交换机（2分）：设备支持0~70℃宽温工作</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得1分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设备单端口支持的mac地址用户数≥4k,得1分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szCs w:val="24"/>
          <w:highlight w:val="none"/>
        </w:rPr>
        <w:t xml:space="preserve">（</w:t>
      </w:r>
      <w:r>
        <w:rPr>
          <w:rFonts w:hint="eastAsia" w:ascii="宋体" w:hAnsi="宋体" w:eastAsia="宋体" w:cs="Times New Roman"/>
          <w:color w:val="000000" w:themeColor="text1"/>
          <w:sz w:val="24"/>
          <w:highlight w:val="none"/>
          <w:lang w:val="en-US" w:eastAsia="zh-CN"/>
        </w:rPr>
        <w:t xml:space="preserve">须提供</w:t>
      </w:r>
      <w:r>
        <w:rPr>
          <w:rFonts w:ascii="宋体" w:hAnsi="宋体" w:eastAsia="宋体" w:cs="Times New Roman"/>
          <w:color w:val="000000" w:themeColor="text1"/>
          <w:sz w:val="24"/>
          <w:highlight w:val="none"/>
          <w:lang w:val="en-US" w:eastAsia="zh-CN"/>
        </w:rPr>
        <w:t xml:space="preserve">具有CMA资质的检测机构出具的带有CMA标识的检测报告</w:t>
      </w:r>
      <w:r>
        <w:rPr>
          <w:rFonts w:hint="eastAsia" w:ascii="宋体" w:hAnsi="宋体" w:eastAsia="宋体" w:cs="Times New Roman"/>
          <w:color w:val="000000" w:themeColor="text1"/>
          <w:sz w:val="24"/>
          <w:highlight w:val="none"/>
          <w:lang w:val="en-US" w:eastAsia="zh-CN"/>
        </w:rPr>
        <w:t xml:space="preserve">扫描件</w:t>
      </w:r>
      <w:r>
        <w:rPr>
          <w:rFonts w:hint="eastAsia" w:ascii="宋体" w:hAnsi="宋体"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不提供不得分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4.6视频安全接入系统安全隔离设备（3分）：符合信息安全技术访问控制产品检验规范MSTLJGF_04-010(增强级)、信息安全技术通用渗透测试检测条件JCTJ005-2016的相关要求，得1分；符合GB/T28181-2022《公共安全视频监控联网系统信息传输、交换、控制技术要求》，得1分；符合公安视频图像信息系统安全技术要求第3部分:安全交互GA/T1788.3-2021(增强II级)、信息安全技术通用渗透测试检测条件JCTJ005-2016的相关要求，得1分。</w:t>
      </w:r>
      <w:r>
        <w:rPr>
          <w:rFonts w:hint="eastAsia" w:ascii="宋体" w:hAnsi="宋体"/>
          <w:color w:val="000000" w:themeColor="text1"/>
          <w:sz w:val="24"/>
          <w:szCs w:val="24"/>
          <w:highlight w:val="none"/>
        </w:rPr>
        <w:t xml:space="preserve">（</w:t>
      </w:r>
      <w:r>
        <w:rPr>
          <w:rFonts w:hint="eastAsia" w:ascii="宋体" w:hAnsi="宋体" w:eastAsia="宋体" w:cs="Times New Roman"/>
          <w:color w:val="000000" w:themeColor="text1"/>
          <w:sz w:val="24"/>
          <w:highlight w:val="none"/>
          <w:lang w:val="en-US" w:eastAsia="zh-CN"/>
        </w:rPr>
        <w:t xml:space="preserve">须提供</w:t>
      </w:r>
      <w:r>
        <w:rPr>
          <w:rFonts w:ascii="宋体" w:hAnsi="宋体" w:eastAsia="宋体" w:cs="Times New Roman"/>
          <w:color w:val="000000" w:themeColor="text1"/>
          <w:sz w:val="24"/>
          <w:highlight w:val="none"/>
          <w:lang w:val="en-US" w:eastAsia="zh-CN"/>
        </w:rPr>
        <w:t xml:space="preserve">具有CMA资质的检测机构出具的带有CMA标识的检测报告</w:t>
      </w:r>
      <w:r>
        <w:rPr>
          <w:rFonts w:hint="eastAsia" w:ascii="宋体" w:hAnsi="宋体" w:eastAsia="宋体" w:cs="Times New Roman"/>
          <w:color w:val="000000" w:themeColor="text1"/>
          <w:sz w:val="24"/>
          <w:highlight w:val="none"/>
          <w:lang w:val="en-US" w:eastAsia="zh-CN"/>
        </w:rPr>
        <w:t xml:space="preserve">扫描件</w:t>
      </w:r>
      <w:r>
        <w:rPr>
          <w:rFonts w:hint="eastAsia" w:ascii="宋体" w:hAnsi="宋体" w:eastAsia="宋体" w:cs="Times New Roman"/>
          <w:color w:val="000000" w:themeColor="text1"/>
          <w:sz w:val="24"/>
          <w:highlight w:val="none"/>
          <w:lang w:eastAsia="zh-CN"/>
        </w:rPr>
        <w:t xml:space="preserve">，</w:t>
      </w:r>
      <w:r>
        <w:rPr>
          <w:rFonts w:hint="eastAsia" w:ascii="宋体" w:hAnsi="宋体"/>
          <w:color w:val="000000" w:themeColor="text1"/>
          <w:sz w:val="24"/>
          <w:highlight w:val="none"/>
        </w:rPr>
        <w:t xml:space="preserve">不提供不得分</w:t>
      </w:r>
      <w:r>
        <w:rPr>
          <w:rFonts w:hint="eastAsia" w:ascii="宋体" w:hAnsi="宋体"/>
          <w:color w:val="000000" w:themeColor="text1"/>
          <w:sz w:val="24"/>
          <w:highlight w:val="none"/>
          <w:lang w:eastAsia="zh-CN"/>
        </w:rPr>
        <w:t xml:space="preserve">）</w:t>
      </w:r>
      <w:r>
        <w:rPr>
          <w:color w:val="000000" w:themeColor="text1"/>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节能、环保产品</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2</w:t>
      </w:r>
      <w:r>
        <w:rPr>
          <w:rFonts w:ascii="宋体" w:hAnsi="宋体"/>
          <w:b/>
          <w:bCs/>
          <w:color w:val="000000" w:themeColor="text1"/>
          <w:sz w:val="24"/>
          <w:szCs w:val="24"/>
          <w:highlight w:val="none"/>
        </w:rPr>
        <w:t xml:space="preserve">分）</w:t>
      </w:r>
      <w:r>
        <w:rPr>
          <w:rFonts w:hint="eastAsia" w:ascii="宋体" w:hAnsi="宋体"/>
          <w:b/>
          <w:bCs/>
          <w:color w:val="000000" w:themeColor="text1"/>
          <w:sz w:val="24"/>
          <w:szCs w:val="24"/>
          <w:highlight w:val="none"/>
        </w:rPr>
        <w:t xml:space="preserve">：</w:t>
      </w:r>
      <w:r>
        <w:rPr>
          <w:rFonts w:hint="eastAsia" w:ascii="宋体" w:hAnsi="宋体"/>
          <w:color w:val="000000" w:themeColor="text1"/>
          <w:sz w:val="24"/>
          <w:highlight w:val="none"/>
        </w:rPr>
        <w:t xml:space="preserve">依据财政部、发展改革委发布的《节能产品政府采购品目清单》和财政部、生态环境部发布的《</w:t>
      </w:r>
      <w:r>
        <w:rPr>
          <w:rFonts w:ascii="宋体" w:hAnsi="宋体"/>
          <w:color w:val="000000" w:themeColor="text1"/>
          <w:sz w:val="24"/>
          <w:highlight w:val="none"/>
        </w:rPr>
        <w:t xml:space="preserve">环境标志产品政府采购品目清单</w:t>
      </w:r>
      <w:r>
        <w:rPr>
          <w:rFonts w:hint="eastAsia" w:ascii="宋体" w:hAnsi="宋体"/>
          <w:color w:val="000000" w:themeColor="text1"/>
          <w:sz w:val="24"/>
          <w:highlight w:val="none"/>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color w:val="000000" w:themeColor="text1"/>
          <w:highlight w:val="none"/>
        </w:rPr>
      </w:r>
      <w:r/>
    </w:p>
    <w:p>
      <w:pPr>
        <w:pStyle w:val="883"/>
        <w:numPr>
          <w:ilvl w:val="4"/>
          <w:numId w:val="7"/>
        </w:numPr>
        <w:ind w:left="0" w:firstLine="482"/>
        <w:spacing w:line="500" w:lineRule="exact"/>
        <w:tabs>
          <w:tab w:val="left" w:pos="525" w:leader="none"/>
          <w:tab w:val="left" w:pos="945" w:leader="none"/>
          <w:tab w:val="left" w:pos="1155" w:leader="none"/>
        </w:tabs>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演示（</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color w:val="000000" w:themeColor="text1"/>
          <w:highlight w:val="none"/>
        </w:rPr>
      </w:r>
      <w:r/>
    </w:p>
    <w:p>
      <w:pPr>
        <w:pStyle w:val="883"/>
        <w:ind w:firstLine="566"/>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6.1 5G可视化报警模块——视频报警呼入</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：实现群众通过手机直接拨打视频报警电话，话务接通后即可实现视频通话。</w:t>
      </w:r>
      <w:r>
        <w:rPr>
          <w:rFonts w:hint="eastAsia" w:ascii="宋体" w:hAnsi="宋体"/>
          <w:color w:val="000000" w:themeColor="text1"/>
          <w:sz w:val="24"/>
          <w:highlight w:val="none"/>
        </w:rPr>
        <w:t xml:space="preserve">完全满足以上功能得1分，否则不得分。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6.2 5G可视化报警模块——语音报警转视频报警</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应急事件发生时，群众首先拨打语音报警电话，接警员接通后，可与报警人语音交流。为更准确的了解现场情况，接警员可在语音通话过程中向报警人发起视频通话请求，在取得报警人许可后，可打开视频通话，转到视频沟通模式。</w:t>
      </w:r>
      <w:r>
        <w:rPr>
          <w:rFonts w:hint="eastAsia" w:ascii="宋体" w:hAnsi="宋体"/>
          <w:color w:val="000000" w:themeColor="text1"/>
          <w:sz w:val="24"/>
          <w:highlight w:val="none"/>
        </w:rPr>
        <w:t xml:space="preserve">完全满足以上功能得1分，否则不得分。</w:t>
      </w:r>
      <w:r>
        <w:rPr>
          <w:color w:val="000000" w:themeColor="text1"/>
          <w:highlight w:val="none"/>
        </w:rPr>
      </w:r>
      <w:r/>
    </w:p>
    <w:p>
      <w:pPr>
        <w:pStyle w:val="883"/>
        <w:ind w:firstLine="566"/>
        <w:spacing w:line="360" w:lineRule="auto"/>
        <w:tabs>
          <w:tab w:val="left" w:pos="945" w:leader="none"/>
          <w:tab w:val="left" w:pos="1155" w:leader="none"/>
        </w:tabs>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6.3 5G可视化报警模块——视频呼出</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：接警员通过系统可直接向报警人发起5G视频呼叫，被叫方可选择接通视频，双方进入视频通话</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完全满足以上功能得1分，否则不得分。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6.4警情盯督子系统——警情盯警功能</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三级情指中心对警情进行盯警，市局和分局情指中心盯警内容包括勤务报备、警情流转、情况报告、战术动作、处置流程、执法规范、风险隐患、舆情管控、警综反馈、后续处置、其他问题十一类盯警内容，每类盯警内容再细分二级盯警内容；所战队盯警内容包括勤务报备、到场速度、处警主体、执法执勤规范、其他问题。市局情指对黄标警情进行盯警，分局情指对星标警情进行盯警，所站队对普通警情进行盯警。</w:t>
      </w:r>
      <w:r>
        <w:rPr>
          <w:rFonts w:hint="eastAsia" w:ascii="宋体" w:hAnsi="宋体"/>
          <w:color w:val="000000" w:themeColor="text1"/>
          <w:sz w:val="24"/>
          <w:highlight w:val="none"/>
        </w:rPr>
        <w:t xml:space="preserve">完全满足以上功能得1分，否则不得分。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6.5警情盯督子系统——盯督质态功能</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盯警质态包括质态汇总和质态统计，质态汇总是市局情指中心根据报警时间范围按照各个分局或所战队分别统计所有警情处警总数、已盯警情数、已盯跟盯率、平均跟盯用时、未盯警情数、未跟率、提级数；质态统计根据报警时间范围按照各个分局或所战队分别统计勤务报备问题数、警情流转问题数、情况报告问题数、战术动作问题数、处置流程问题数、执法规范问题数、风险隐患问题数、舆情管控问题数、警综反馈问题数、后续处置问题数、其他问题数，以及各细项问题数量。</w:t>
      </w:r>
      <w:r>
        <w:rPr>
          <w:rFonts w:hint="eastAsia" w:ascii="宋体" w:hAnsi="宋体"/>
          <w:color w:val="000000" w:themeColor="text1"/>
          <w:sz w:val="24"/>
          <w:highlight w:val="none"/>
        </w:rPr>
        <w:t xml:space="preserve">完全满足以上功能得1分，否则不得分。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6.6警情盯督子系统——一地多警数据分析功能</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根据统计方式、警情类别、统计区域、报警时间查询相关警情数据后，根据聚集距离和最小聚集数量，采用空间聚类算法，在地图上展示所有通过数据分析的聚集范围，同时显示每个聚集范围的中心地址位置和地址名称，同时可以查看每个聚集范围的数据分析结果，包括地址名称、聚集距离、统计区域、本期数量、同期数量、上期数量、日均数量、同比、环比、均比、主要处警类别、主要处警单位。</w:t>
      </w:r>
      <w:r>
        <w:rPr>
          <w:rFonts w:hint="eastAsia" w:ascii="宋体" w:hAnsi="宋体"/>
          <w:color w:val="000000" w:themeColor="text1"/>
          <w:sz w:val="24"/>
          <w:highlight w:val="none"/>
        </w:rPr>
        <w:t xml:space="preserve">完全满足以上功能得1分，否则不得分。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6.7警情盯督子系统——警情自定义规则检索功能</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通过多条件组合进行检索，包括警综的处警类别、报警内容、处理结果内容、处警单位名称、事发地点、处警详细地点、处警结果、接警类型、来话类型、警情类型、发生原因、发生部位、警情标签、报警内容字数、反馈内容字数、是否失踪人员、走失查找结果等如果条件是关键字查询，需要支持多个关键字的并、或、非查询；如果条件是字典查询，需要支持字典的多选；如果条件是数值查询，则支持数值范围查询。条件之间支持并或组合查询，查询结果显示返回接警编号、行政区划、区划部门、接警单位、处警单位、报警方式等数据。</w:t>
      </w:r>
      <w:r>
        <w:rPr>
          <w:rFonts w:hint="eastAsia" w:ascii="宋体" w:hAnsi="宋体"/>
          <w:color w:val="000000" w:themeColor="text1"/>
          <w:sz w:val="24"/>
          <w:highlight w:val="none"/>
        </w:rPr>
        <w:t xml:space="preserve">完全满足以上功能得1分，否则不得分。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6.8警用无人机模块——无人机反制设备接入</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：可在地图显示无人机反制设备部署位置和状态等信息，实时显示探测到的无人机位置和飞手位置及无人机型号。</w:t>
      </w:r>
      <w:r>
        <w:rPr>
          <w:rFonts w:hint="eastAsia" w:ascii="宋体" w:hAnsi="宋体"/>
          <w:color w:val="000000" w:themeColor="text1"/>
          <w:sz w:val="24"/>
          <w:highlight w:val="none"/>
        </w:rPr>
        <w:t xml:space="preserve">完全满足以上功能得1分，否则不得分。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6.9警用无人机模块——三维建模</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：可规划多种建模航线和设置建模参数,当无人机完成数据采集后平台自动开始三维建模，可实时显示建模进度。支持手动方式选择多个已完成的飞行任务同时建模。</w:t>
      </w:r>
      <w:r>
        <w:rPr>
          <w:rFonts w:hint="eastAsia" w:ascii="宋体" w:hAnsi="宋体"/>
          <w:color w:val="000000" w:themeColor="text1"/>
          <w:sz w:val="24"/>
          <w:highlight w:val="none"/>
        </w:rPr>
        <w:t xml:space="preserve">完全满足以上功能得1分，否则不得分。</w:t>
      </w:r>
      <w:r>
        <w:rPr>
          <w:color w:val="000000" w:themeColor="text1"/>
          <w:highlight w:val="none"/>
        </w:rPr>
      </w:r>
      <w:r/>
    </w:p>
    <w:p>
      <w:pPr>
        <w:pStyle w:val="883"/>
        <w:ind w:firstLine="566"/>
        <w:jc w:val="left"/>
        <w:spacing w:line="360" w:lineRule="auto"/>
        <w:tabs>
          <w:tab w:val="left" w:pos="945" w:leader="none"/>
          <w:tab w:val="left" w:pos="1155" w:leader="none"/>
        </w:tabs>
        <w:rPr>
          <w:rFonts w:hint="eastAsia" w:ascii="宋体" w:hAnsi="宋体"/>
          <w:b/>
          <w:color w:val="000000" w:themeColor="text1"/>
          <w:sz w:val="28"/>
          <w:szCs w:val="28"/>
          <w:highlight w:val="none"/>
        </w:rPr>
      </w:pPr>
      <w:r>
        <w:rPr>
          <w:rFonts w:hint="eastAsia" w:ascii="宋体" w:hAnsi="宋体"/>
          <w:color w:val="000000" w:themeColor="text1"/>
          <w:sz w:val="24"/>
          <w:highlight w:val="none"/>
        </w:rPr>
        <w:t xml:space="preserve">6.10警用无人机模块——大疆上云API方式接入无人机</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1分）</w:t>
      </w:r>
      <w:r>
        <w:rPr>
          <w:rFonts w:hint="eastAsia" w:ascii="宋体" w:hAnsi="宋体"/>
          <w:color w:val="000000" w:themeColor="text1"/>
          <w:sz w:val="24"/>
          <w:highlight w:val="none"/>
        </w:rPr>
        <w:t xml:space="preserve">：大疆上云API方式接入无人机，可查看实时视频和态势信息，并可远程控制无人机。</w:t>
      </w:r>
      <w:r>
        <w:rPr>
          <w:rFonts w:hint="eastAsia" w:ascii="宋体" w:hAnsi="宋体"/>
          <w:color w:val="000000" w:themeColor="text1"/>
          <w:sz w:val="24"/>
          <w:highlight w:val="none"/>
        </w:rPr>
        <w:t xml:space="preserve">完全满足以上功能得1分，否则不得分。</w:t>
      </w: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（二）</w:t>
      </w:r>
      <w:r>
        <w:rPr>
          <w:rFonts w:hint="eastAsia" w:ascii="宋体" w:hAnsi="宋体"/>
          <w:b/>
          <w:color w:val="000000" w:themeColor="text1"/>
          <w:sz w:val="28"/>
          <w:szCs w:val="28"/>
          <w:highlight w:val="none"/>
        </w:rPr>
        <w:t xml:space="preserve">技术部分（</w:t>
      </w:r>
      <w:r>
        <w:rPr>
          <w:rFonts w:hint="eastAsia" w:ascii="宋体" w:hAnsi="宋体"/>
          <w:b/>
          <w:color w:val="000000" w:themeColor="text1"/>
          <w:sz w:val="28"/>
          <w:szCs w:val="28"/>
          <w:highlight w:val="none"/>
          <w:lang w:val="en-US" w:eastAsia="zh-CN"/>
        </w:rPr>
        <w:t xml:space="preserve">53</w:t>
      </w:r>
      <w:r>
        <w:rPr>
          <w:rFonts w:hint="eastAsia" w:ascii="宋体" w:hAnsi="宋体"/>
          <w:b/>
          <w:color w:val="000000" w:themeColor="text1"/>
          <w:sz w:val="28"/>
          <w:szCs w:val="28"/>
          <w:highlight w:val="none"/>
        </w:rPr>
        <w:t xml:space="preserve">分）</w:t>
      </w:r>
      <w:r>
        <w:rPr>
          <w:color w:val="000000" w:themeColor="text1"/>
          <w:highlight w:val="none"/>
        </w:rPr>
      </w:r>
      <w:r/>
    </w:p>
    <w:p>
      <w:pPr>
        <w:pStyle w:val="971"/>
        <w:ind w:firstLine="422"/>
        <w:spacing w:before="0" w:after="0" w:line="500" w:lineRule="exact"/>
        <w:rPr>
          <w:rFonts w:hint="eastAsia" w:ascii="宋体" w:hAnsi="宋体"/>
          <w:b/>
          <w:color w:val="000000" w:themeColor="text1"/>
          <w:sz w:val="28"/>
          <w:szCs w:val="28"/>
          <w:highlight w:val="none"/>
          <w:u w:val="single"/>
        </w:rPr>
      </w:pPr>
      <w:r>
        <w:rPr>
          <w:rFonts w:hint="eastAsia" w:ascii="宋体" w:hAnsi="宋体"/>
          <w:b/>
          <w:color w:val="000000" w:themeColor="text1"/>
          <w:sz w:val="28"/>
          <w:szCs w:val="28"/>
          <w:highlight w:val="none"/>
          <w:u w:val="single"/>
        </w:rPr>
        <w:t xml:space="preserve">注：技术部分属于暗标，投标人在制作技术部分相关内容时不得有体现投标人身份的内容，否则投标无效。</w:t>
      </w:r>
      <w:r>
        <w:rPr>
          <w:color w:val="000000" w:themeColor="text1"/>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w:t>
      </w:r>
      <w:r>
        <w:rPr>
          <w:rFonts w:hint="eastAsia" w:ascii="宋体" w:hAnsi="宋体"/>
          <w:b/>
          <w:bCs/>
          <w:color w:val="000000" w:themeColor="text1"/>
          <w:sz w:val="24"/>
          <w:szCs w:val="24"/>
          <w:highlight w:val="none"/>
          <w:lang w:val="en-US" w:eastAsia="zh-CN"/>
        </w:rPr>
        <w:t xml:space="preserve">53</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考察投标人项目技术方案，在响应采购文件需求的基础上对下列各部分进行评价，要求体现科学合理性、条理性、可行性、完善性、针对性，无方案不得分。</w:t>
      </w:r>
      <w:r>
        <w:rPr>
          <w:color w:val="000000" w:themeColor="text1"/>
          <w:highlight w:val="none"/>
        </w:rPr>
      </w:r>
      <w:r/>
    </w:p>
    <w:p>
      <w:pPr>
        <w:pStyle w:val="883"/>
        <w:ind w:firstLine="566"/>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.1项目总体建设方案(4分)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包括①项目需求分析及建设目标、②设计原则及依据、③业务流程分析、④系统总体架构设计；</w:t>
      </w:r>
      <w:r>
        <w:rPr>
          <w:color w:val="000000" w:themeColor="text1"/>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方案完整，科学合理，设计清晰详细，完全符合本项目需求，且能够提供上述4项全部方案的，得4分；方案较完整，科学合理性较强，设计较清晰详细，能够符合本项目需求，能够提供上述3-4项方案的，得3分；方案完整性一般，科学合理性一般，设计清晰详细程度一般，能够符合本项目需求，能够提供上述2-4项方案的，得2分；方案完整性、科学合理性、设计的清晰详细程度等只能基本满足要求，能够提供上述1-4项方案的，得1分；无方案的，不得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.2实施及保障方案(6分)</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包括①施工组织方案、②实施计划、③售后服务方案、④重大活动保障方案、⑤培训方案、⑥应急预案；</w:t>
      </w:r>
      <w:r>
        <w:rPr>
          <w:color w:val="000000" w:themeColor="text1"/>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6项全部方案的，得6分；方案较完整，科学合理性较强，设计较清晰详细，能够符合本项目需求，能够提供上述4-6项方案的，得4分；方案完整性一般，科学合理性一般，设计清晰详细程度一般，能够符合本项目需求，能够提供上述2-6项方案的，得2分；方案完整性、科学合理性、设计的清晰详细程度等只能基本满足要求，能够提供上述1-6项方案的，得1分；无方案的，不得分。</w:t>
      </w:r>
      <w:r>
        <w:rPr>
          <w:color w:val="000000" w:themeColor="text1"/>
          <w:highlight w:val="none"/>
        </w:rPr>
      </w:r>
      <w:r/>
    </w:p>
    <w:p>
      <w:pPr>
        <w:pStyle w:val="883"/>
        <w:ind w:firstLine="566"/>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.3 5G可视化报警模块建设方案(10分)</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包括①视话通信管理、②视频报警管理、③录制与存储服务管理、④网管服务管理、⑤接处警客户端软件改造、⑥视频报警应用、⑦苹果手机视频功能应用、⑧省12345平台对接、⑨接处警功能升级⑩软交换排队调度机；</w:t>
      </w:r>
      <w:r>
        <w:rPr>
          <w:color w:val="000000" w:themeColor="text1"/>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10项全部方案的，得10分；方案较完整，科学合理性较强，设计较清晰详细，能够符合本项目需求，能够提供上述7-10项方案的，得8分；方案完整性一般，科学合理性一般，设计清晰详细程度一般，能够符合本项目需求，能够提供上述4-10项方案的，得6分；方案完整性、科学合理性、设计的清晰详细程度等只能基本满足要求，能够提供上述1-10项方案的，得4分；无方案的，不得分。</w:t>
      </w:r>
      <w:r>
        <w:rPr>
          <w:color w:val="000000" w:themeColor="text1"/>
          <w:highlight w:val="none"/>
        </w:rPr>
      </w:r>
      <w:r/>
    </w:p>
    <w:p>
      <w:pPr>
        <w:pStyle w:val="895"/>
        <w:ind w:left="0" w:firstLine="480"/>
        <w:rPr>
          <w:rFonts w:hint="eastAsia" w:ascii="宋体" w:hAnsi="宋体"/>
          <w:color w:val="000000" w:themeColor="text1"/>
          <w:highlight w:val="none"/>
        </w:rPr>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.4警用无人机模块建设方案（10分)</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包括①系统架构设计、②扩展数据对接（包含无人机反制设备、飞行服务管理平台、民间无人机、政务无人机等数据的对接）、③实战功能设计（包含智能建模、飞手全任务监管、AI智能算法数据融合、穿越机视频接入、视频预案体系等）；</w:t>
      </w:r>
      <w:r>
        <w:rPr>
          <w:color w:val="000000" w:themeColor="text1"/>
          <w:highlight w:val="none"/>
        </w:rPr>
      </w:r>
      <w:r/>
    </w:p>
    <w:p>
      <w:pPr>
        <w:pStyle w:val="883"/>
        <w:ind w:firstLine="480"/>
        <w:spacing w:line="500" w:lineRule="exact"/>
        <w:tabs>
          <w:tab w:val="left" w:pos="945" w:leader="none"/>
          <w:tab w:val="left" w:pos="1155" w:leader="none"/>
          <w:tab w:val="left" w:pos="3823" w:leader="none"/>
        </w:tabs>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3项全部方案的，得10分；方案较完整，科学合理性较强，设计较清晰详细，能够符合本项目需求，能够提供上述2-3项方案的，得8分；方案完整性一般，科学合理性一般，设计清晰详细程度一般，能够符合本项目需求，能够提供上述1-3项方案的，得6分；方案完整性、科学合理性、设计的清晰详细程度等只能基本满足要求，能够提供上述1-3项方案的，得4分；无方案的，不得分。</w:t>
      </w:r>
      <w:r>
        <w:rPr>
          <w:color w:val="000000" w:themeColor="text1"/>
          <w:highlight w:val="none"/>
        </w:rPr>
      </w:r>
      <w:r/>
    </w:p>
    <w:p>
      <w:pPr>
        <w:pStyle w:val="883"/>
        <w:ind w:firstLine="480"/>
        <w:jc w:val="center"/>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.5盯督和重警模块建设方案(8分)</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包括①盯警督盯、②线路预案、③警情处置、④勤务质态、⑤警力到场质态、⑥语音指挥接口、⑦重复警情治理、⑧数据支撑服务；</w:t>
      </w:r>
      <w:r>
        <w:rPr>
          <w:color w:val="000000" w:themeColor="text1"/>
          <w:highlight w:val="none"/>
        </w:rPr>
      </w:r>
      <w:r/>
    </w:p>
    <w:p>
      <w:pPr>
        <w:pStyle w:val="883"/>
        <w:ind w:firstLine="480"/>
        <w:jc w:val="left"/>
        <w:spacing w:line="500" w:lineRule="exact"/>
        <w:tabs>
          <w:tab w:val="left" w:pos="1440" w:leader="none"/>
        </w:tabs>
        <w:rPr>
          <w:rFonts w:hint="eastAsia" w:ascii="宋体" w:hAnsi="宋体" w:eastAsia="宋体" w:cs="Times New Roman"/>
          <w:color w:val="000000" w:themeColor="text1"/>
          <w:sz w:val="24"/>
          <w:highlight w:val="none"/>
        </w:rPr>
        <w:outlineLvl w:val="0"/>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8项全部方案的，得8分；方案较完整，科学合理性较强，设计较清晰详细，能够符合本项目需求，能够提供上述5-8项方案的，得6分；方案完整性一般，科学合理性一般，设计清晰详细程度一般，能够符合本项目需求，能够提供上述2-8项方案的，得4分；方案完整性、科学合理性、设计的清晰详细程度等只能基本满足要求，能够提供上述1-8项方案的，得2分；无方案的，不得分。</w:t>
      </w:r>
      <w:r>
        <w:rPr>
          <w:color w:val="000000" w:themeColor="text1"/>
          <w:highlight w:val="none"/>
        </w:rPr>
      </w:r>
      <w:r/>
    </w:p>
    <w:p>
      <w:pPr>
        <w:pStyle w:val="883"/>
        <w:ind w:firstLine="480"/>
        <w:jc w:val="left"/>
        <w:spacing w:line="500" w:lineRule="exact"/>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.6警情智能体模块建设方案(5分)</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包括，①警情质量检查（要素提取+分类打标+处境标签）、②警情关联分析（重复人员+重复地址+重复事件）、③处置预案指引（处置建议+预案分析）、④智能报告生成（日报生成+研判分析）、⑤工具插件开发与警情知识库构建；</w:t>
      </w:r>
      <w:r>
        <w:rPr>
          <w:color w:val="000000" w:themeColor="text1"/>
          <w:highlight w:val="none"/>
        </w:rPr>
      </w:r>
      <w:r/>
    </w:p>
    <w:p>
      <w:pPr>
        <w:pStyle w:val="883"/>
        <w:ind w:firstLine="480"/>
        <w:jc w:val="left"/>
        <w:spacing w:line="500" w:lineRule="exact"/>
        <w:tabs>
          <w:tab w:val="left" w:pos="1440" w:leader="none"/>
        </w:tabs>
        <w:rPr>
          <w:rFonts w:hint="eastAsia" w:ascii="宋体" w:hAnsi="宋体" w:eastAsia="宋体" w:cs="Times New Roman"/>
          <w:color w:val="000000" w:themeColor="text1"/>
          <w:sz w:val="24"/>
          <w:highlight w:val="none"/>
        </w:rPr>
        <w:outlineLvl w:val="0"/>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5项全部方案的，得5分；方案较完整，科学合理性较强，设计较清晰详细，能够符合本项目需求，能够提供上述3-5项方案的，得3分；方案完整性一般，科学合理性一般，设计清晰详细程度一般，能够符合本项目需求，能够提供上述2-5项方案的，得2分；方案完整性、科学合理性、设计的清晰详细程度等只能基本满足要求，能够提供上述1-5项方案的，得1分；无方案的，不得分。</w:t>
      </w:r>
      <w:r>
        <w:rPr>
          <w:color w:val="000000" w:themeColor="text1"/>
          <w:highlight w:val="none"/>
        </w:rPr>
      </w:r>
      <w:r/>
    </w:p>
    <w:p>
      <w:pPr>
        <w:pStyle w:val="883"/>
        <w:ind w:firstLine="566"/>
        <w:spacing w:line="360" w:lineRule="auto"/>
        <w:tabs>
          <w:tab w:val="left" w:pos="945" w:leader="none"/>
          <w:tab w:val="left" w:pos="1155" w:leader="none"/>
        </w:tabs>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.7 情指行（情报）模块建设方案(5分)</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包括①智能情报管理、②智能云控管理、③智能情报指令管理、④未成年处置管理、⑤系统对接；</w:t>
      </w:r>
      <w:r>
        <w:rPr>
          <w:color w:val="000000" w:themeColor="text1"/>
          <w:highlight w:val="none"/>
        </w:rPr>
      </w:r>
      <w:r/>
    </w:p>
    <w:p>
      <w:pPr>
        <w:pStyle w:val="883"/>
        <w:ind w:firstLine="480"/>
        <w:jc w:val="left"/>
        <w:spacing w:line="500" w:lineRule="exact"/>
        <w:tabs>
          <w:tab w:val="left" w:pos="1440" w:leader="none"/>
        </w:tabs>
        <w:rPr>
          <w:rFonts w:hint="eastAsia" w:ascii="宋体" w:hAnsi="宋体" w:eastAsia="宋体" w:cs="Times New Roman"/>
          <w:color w:val="000000" w:themeColor="text1"/>
          <w:sz w:val="24"/>
          <w:highlight w:val="none"/>
        </w:rPr>
        <w:outlineLvl w:val="0"/>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5项全部方案的，得5分；方案较完整，科学合理性较强，设计较清晰详细，能够符合本项目需求，能够提供上述3-5项方案的，得3分；方案完整性一般，科学合理性一般，设计清晰详细程度一般，能够符合本项目需求，能够提供上述2-5项方案的，得2分；方案完整性、科学合理性、设计的清晰详细程度等只能基本满足要求，能够提供上述1-5项方案的，得1分；无方案的，不得分。</w:t>
      </w:r>
      <w:r>
        <w:rPr>
          <w:color w:val="000000" w:themeColor="text1"/>
          <w:highlight w:val="none"/>
        </w:rPr>
      </w:r>
      <w:r/>
    </w:p>
    <w:p>
      <w:pPr>
        <w:pStyle w:val="883"/>
        <w:ind w:firstLine="566"/>
        <w:spacing w:line="360" w:lineRule="auto"/>
        <w:tabs>
          <w:tab w:val="left" w:pos="945" w:leader="none"/>
          <w:tab w:val="left" w:pos="1155" w:leader="none"/>
        </w:tabs>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.8视频安全接入系统建设方案（5分）</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rPr>
        <w:t xml:space="preserve">包括①边界安全架构、②传输方式、③安全交互模式、④业务对接、⑤监管级联上报；</w:t>
      </w:r>
      <w:r>
        <w:rPr>
          <w:color w:val="000000" w:themeColor="text1"/>
          <w:highlight w:val="none"/>
        </w:rPr>
      </w:r>
      <w:r/>
    </w:p>
    <w:p>
      <w:pPr>
        <w:pStyle w:val="883"/>
        <w:ind w:firstLine="480"/>
        <w:jc w:val="left"/>
        <w:spacing w:line="500" w:lineRule="exact"/>
        <w:tabs>
          <w:tab w:val="left" w:pos="1440" w:leader="none"/>
        </w:tabs>
        <w:rPr>
          <w:rFonts w:hint="eastAsia" w:ascii="宋体" w:hAnsi="宋体" w:eastAsia="宋体" w:cs="Times New Roman"/>
          <w:color w:val="000000" w:themeColor="text1"/>
          <w:sz w:val="24"/>
          <w:highlight w:val="none"/>
        </w:rPr>
        <w:outlineLvl w:val="0"/>
      </w:pPr>
      <w:r>
        <w:rPr>
          <w:rFonts w:hint="eastAsia" w:ascii="宋体" w:hAnsi="宋体" w:eastAsia="宋体" w:cs="Times New Roman"/>
          <w:color w:val="000000" w:themeColor="text1"/>
          <w:sz w:val="24"/>
          <w:highlight w:val="none"/>
          <w:lang w:val="en-US" w:eastAsia="zh-CN"/>
        </w:rPr>
        <w:t xml:space="preserve">方案完整，科学合理，设计清晰详细，完全符合本项目需求，且能够提供上述5项全部方案的，得5分；方案较完整，科学合理性较强，设计较清晰详细，能够符合本项目需求，能够提供上述3-5项方案的，得3分；方案完整性一般，科学合理性一般，设计清晰详细程度一般，能够符合本项目需求，能够提供上述2-5项方案的，得2分；方案完整性、科学合理性、设计的清晰详细程度等只能基本满足要求，能够提供上述1-5项方案的，得1分；无方案的，不得分。</w:t>
      </w:r>
      <w:r>
        <w:rPr>
          <w:color w:val="000000" w:themeColor="text1"/>
          <w:highlight w:val="none"/>
        </w:rPr>
      </w:r>
      <w:r/>
    </w:p>
    <w:p>
      <w:pPr>
        <w:pStyle w:val="895"/>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80"/>
        <w:jc w:val="left"/>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6"/>
      <w:r>
        <w:rPr>
          <w:rFonts w:hint="eastAsia" w:ascii="黑体" w:hAnsi="黑体" w:eastAsia="黑体"/>
          <w:color w:val="000000" w:themeColor="text1"/>
          <w:sz w:val="36"/>
          <w:szCs w:val="36"/>
          <w:highlight w:val="none"/>
        </w:rPr>
        <w:t xml:space="preserve">投标文件内容与格式</w:t>
      </w:r>
      <w:r>
        <w:rPr>
          <w:color w:val="000000" w:themeColor="text1"/>
          <w:highlight w:val="none"/>
        </w:rPr>
      </w:r>
      <w:r/>
    </w:p>
    <w:p>
      <w:pPr>
        <w:pStyle w:val="971"/>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197" w:name="_Hlt26671244"/>
      <w:r>
        <w:rPr>
          <w:color w:val="000000" w:themeColor="text1"/>
          <w:highlight w:val="none"/>
        </w:rPr>
      </w:r>
      <w:bookmarkEnd w:id="197"/>
      <w:r>
        <w:rPr>
          <w:color w:val="000000" w:themeColor="text1"/>
          <w:highlight w:val="none"/>
        </w:rPr>
      </w:r>
      <w:bookmarkStart w:id="198" w:name="_Toc120614282"/>
      <w:r>
        <w:rPr>
          <w:color w:val="000000" w:themeColor="text1"/>
          <w:highlight w:val="none"/>
        </w:rPr>
      </w:r>
      <w:bookmarkStart w:id="199" w:name="_Toc26554094"/>
      <w:r>
        <w:rPr>
          <w:color w:val="000000" w:themeColor="text1"/>
          <w:highlight w:val="none"/>
        </w:rPr>
      </w:r>
      <w:bookmarkStart w:id="200" w:name="_Toc49090576"/>
      <w:r>
        <w:rPr>
          <w:color w:val="000000" w:themeColor="text1"/>
          <w:highlight w:val="none"/>
        </w:rPr>
      </w:r>
      <w:bookmarkStart w:id="201" w:name="_Hlt26955039"/>
      <w:r>
        <w:rPr>
          <w:color w:val="000000" w:themeColor="text1"/>
          <w:highlight w:val="none"/>
        </w:rPr>
      </w:r>
      <w:bookmarkEnd w:id="201"/>
      <w:r>
        <w:rPr>
          <w:rFonts w:hint="eastAsia" w:cs="Arial"/>
          <w:b/>
          <w:color w:val="000000" w:themeColor="text1"/>
          <w:sz w:val="30"/>
          <w:szCs w:val="30"/>
          <w:highlight w:val="none"/>
        </w:rPr>
        <w:t xml:space="preserve">第一部分  投标文件内容</w:t>
      </w:r>
      <w:r>
        <w:rPr>
          <w:color w:val="000000" w:themeColor="text1"/>
          <w:highlight w:val="none"/>
        </w:rPr>
      </w:r>
      <w:r/>
    </w:p>
    <w:p>
      <w:pPr>
        <w:pStyle w:val="971"/>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color w:val="000000" w:themeColor="text1"/>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1"/>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r/>
          </w:p>
        </w:tc>
        <w:tc>
          <w:tcPr>
            <w:tcW w:w="6104" w:type="dxa"/>
            <w:vAlign w:val="center"/>
            <w:textDirection w:val="lrTb"/>
            <w:noWrap w:val="false"/>
          </w:tcPr>
          <w:p>
            <w:pPr>
              <w:pStyle w:val="971"/>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2449" w:type="dxa"/>
            <w:vAlign w:val="center"/>
            <w:textDirection w:val="lrTb"/>
            <w:noWrap w:val="false"/>
          </w:tcPr>
          <w:p>
            <w:pPr>
              <w:pStyle w:val="971"/>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r/>
          </w:p>
        </w:tc>
      </w:tr>
      <w:tr>
        <w:trPr>
          <w:trHeight w:val="1335"/>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color w:val="000000" w:themeColor="text1"/>
                <w:highlight w:val="none"/>
              </w:rPr>
            </w:r>
            <w:r/>
          </w:p>
        </w:tc>
        <w:tc>
          <w:tcPr>
            <w:tcW w:w="2449" w:type="dxa"/>
            <w:vAlign w:val="center"/>
            <w:vMerge w:val="restart"/>
            <w:textDirection w:val="lrTb"/>
            <w:noWrap w:val="false"/>
          </w:tcPr>
          <w:p>
            <w:pPr>
              <w:pStyle w:val="971"/>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r/>
          </w:p>
        </w:tc>
      </w:tr>
      <w:tr>
        <w:trPr>
          <w:trHeight w:val="812"/>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color w:val="000000" w:themeColor="text1"/>
                <w:highlight w:val="non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0"/>
                <w:rFonts w:hint="eastAsia" w:ascii="宋体" w:hAnsi="宋体" w:cs="宋体"/>
                <w:color w:val="000000" w:themeColor="text1"/>
                <w:sz w:val="24"/>
                <w:szCs w:val="24"/>
                <w:highlight w:val="none"/>
              </w:rPr>
              <w:t xml:space="preserve">。</w:t>
            </w:r>
            <w:r>
              <w:rPr>
                <w:color w:val="000000" w:themeColor="text1"/>
                <w:highlight w:val="non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1"/>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color w:val="000000" w:themeColor="text1"/>
                <w:highlight w:val="none"/>
              </w:rPr>
            </w:r>
            <w:r/>
          </w:p>
        </w:tc>
        <w:tc>
          <w:tcPr>
            <w:tcW w:w="2449" w:type="dxa"/>
            <w:vAlign w:val="center"/>
            <w:vMerge w:val="continue"/>
            <w:textDirection w:val="lrTb"/>
            <w:noWrap w:val="false"/>
          </w:tcPr>
          <w:p>
            <w:pPr>
              <w:pStyle w:val="97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7</w:t>
            </w:r>
            <w:r>
              <w:rPr>
                <w:color w:val="000000" w:themeColor="text1"/>
                <w:highlight w:val="none"/>
              </w:rPr>
            </w:r>
            <w:r/>
          </w:p>
        </w:tc>
        <w:tc>
          <w:tcPr>
            <w:tcW w:w="6104" w:type="dxa"/>
            <w:vAlign w:val="center"/>
            <w:textDirection w:val="lrTb"/>
            <w:noWrap w:val="false"/>
          </w:tcPr>
          <w:p>
            <w:pPr>
              <w:pStyle w:val="971"/>
              <w:ind w:firstLine="0"/>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满足中小企业政策的证明文件（如有中小企业政策要求的）。</w:t>
            </w:r>
            <w:r>
              <w:rPr>
                <w:color w:val="000000" w:themeColor="text1"/>
                <w:highlight w:val="none"/>
              </w:rPr>
            </w:r>
            <w:r/>
          </w:p>
        </w:tc>
        <w:tc>
          <w:tcPr>
            <w:tcW w:w="2449" w:type="dxa"/>
            <w:vAlign w:val="center"/>
            <w:textDirection w:val="lrTb"/>
            <w:noWrap w:val="false"/>
          </w:tcPr>
          <w:p>
            <w:pPr>
              <w:pStyle w:val="971"/>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落实政府采购政策需满足的资格要求，详见第一章《投标邀请》</w:t>
            </w:r>
            <w:r>
              <w:rPr>
                <w:color w:val="000000" w:themeColor="text1"/>
                <w:highlight w:val="none"/>
              </w:rPr>
            </w:r>
            <w:r/>
          </w:p>
        </w:tc>
      </w:tr>
      <w:tr>
        <w:trPr>
          <w:trHeight w:val="726"/>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color w:val="000000" w:themeColor="text1"/>
                <w:highlight w:val="none"/>
              </w:rPr>
            </w:r>
            <w:r/>
          </w:p>
        </w:tc>
        <w:tc>
          <w:tcPr>
            <w:tcW w:w="6104" w:type="dxa"/>
            <w:vAlign w:val="center"/>
            <w:textDirection w:val="lrTb"/>
            <w:noWrap w:val="false"/>
          </w:tcPr>
          <w:p>
            <w:pPr>
              <w:pStyle w:val="971"/>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文件（如有特定资格要求的）。</w:t>
            </w:r>
            <w:r>
              <w:rPr>
                <w:color w:val="000000" w:themeColor="text1"/>
                <w:highlight w:val="none"/>
              </w:rPr>
            </w:r>
            <w:r/>
          </w:p>
        </w:tc>
        <w:tc>
          <w:tcPr>
            <w:tcW w:w="2449" w:type="dxa"/>
            <w:vAlign w:val="center"/>
            <w:textDirection w:val="lrTb"/>
            <w:noWrap w:val="false"/>
          </w:tcPr>
          <w:p>
            <w:pPr>
              <w:pStyle w:val="971"/>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color w:val="000000" w:themeColor="text1"/>
                <w:highlight w:val="none"/>
              </w:rPr>
            </w:r>
            <w:r/>
          </w:p>
        </w:tc>
      </w:tr>
      <w:tr>
        <w:trPr>
          <w:trHeight w:val="632"/>
        </w:trPr>
        <w:tc>
          <w:tcPr>
            <w:tcW w:w="719" w:type="dxa"/>
            <w:vAlign w:val="center"/>
            <w:textDirection w:val="lrTb"/>
            <w:noWrap w:val="false"/>
          </w:tcPr>
          <w:p>
            <w:pPr>
              <w:pStyle w:val="971"/>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r/>
          </w:p>
        </w:tc>
        <w:tc>
          <w:tcPr>
            <w:gridSpan w:val="2"/>
            <w:tcW w:w="8553" w:type="dxa"/>
            <w:vAlign w:val="center"/>
            <w:textDirection w:val="lrTb"/>
            <w:noWrap w:val="false"/>
          </w:tcPr>
          <w:p>
            <w:pPr>
              <w:pStyle w:val="971"/>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《联合体协议》（如接受联合体投标且投标人为联合体时须提供，格式自拟）。</w:t>
            </w:r>
            <w:r>
              <w:rPr>
                <w:color w:val="000000" w:themeColor="text1"/>
                <w:highlight w:val="none"/>
              </w:rPr>
            </w:r>
            <w:r/>
          </w:p>
        </w:tc>
      </w:tr>
    </w:tbl>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color w:val="000000" w:themeColor="text1"/>
          <w:highlight w:val="none"/>
        </w:rPr>
      </w: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color w:val="000000" w:themeColor="text1"/>
          <w:highlight w:val="none"/>
        </w:rPr>
      </w: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000000" w:themeColor="text1"/>
          <w:highlight w:val="none"/>
        </w:rPr>
      </w: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color w:val="000000" w:themeColor="text1"/>
          <w:highlight w:val="none"/>
        </w:rPr>
      </w:r>
      <w:r/>
    </w:p>
    <w:p>
      <w:pPr>
        <w:pStyle w:val="883"/>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color w:val="000000" w:themeColor="text1"/>
          <w:highlight w:val="none"/>
        </w:rPr>
      </w:r>
      <w:r/>
    </w:p>
    <w:p>
      <w:pPr>
        <w:pStyle w:val="883"/>
        <w:rPr>
          <w:b/>
          <w:color w:val="000000" w:themeColor="text1"/>
          <w:sz w:val="28"/>
          <w:szCs w:val="28"/>
          <w:highlight w:val="none"/>
        </w:rPr>
      </w:pPr>
      <w:r>
        <w:rPr>
          <w:rFonts w:hint="eastAsia"/>
          <w:b/>
          <w:color w:val="000000" w:themeColor="text1"/>
          <w:sz w:val="28"/>
          <w:szCs w:val="28"/>
          <w:highlight w:val="none"/>
        </w:rPr>
        <w:t xml:space="preserve">（一）符合性证明文件</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1"/>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color w:val="000000" w:themeColor="text1"/>
                <w:highlight w:val="none"/>
              </w:rPr>
            </w:r>
            <w:r/>
          </w:p>
        </w:tc>
        <w:tc>
          <w:tcPr>
            <w:tcW w:w="6095" w:type="dxa"/>
            <w:vAlign w:val="center"/>
            <w:textDirection w:val="lrTb"/>
            <w:noWrap w:val="false"/>
          </w:tcPr>
          <w:p>
            <w:pPr>
              <w:pStyle w:val="971"/>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1979" w:type="dxa"/>
            <w:vAlign w:val="center"/>
            <w:textDirection w:val="lrTb"/>
            <w:noWrap w:val="false"/>
          </w:tcPr>
          <w:p>
            <w:pPr>
              <w:pStyle w:val="971"/>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color w:val="000000" w:themeColor="text1"/>
                <w:highlight w:val="none"/>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color w:val="000000" w:themeColor="text1"/>
                <w:highlight w:val="none"/>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color w:val="000000" w:themeColor="text1"/>
                <w:highlight w:val="none"/>
              </w:rPr>
            </w: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color w:val="000000" w:themeColor="text1"/>
                <w:highlight w:val="none"/>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color w:val="000000" w:themeColor="text1"/>
                <w:highlight w:val="none"/>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color w:val="000000" w:themeColor="text1"/>
                <w:highlight w:val="none"/>
              </w:rPr>
            </w:r>
            <w:r/>
          </w:p>
        </w:tc>
        <w:tc>
          <w:tcPr>
            <w:tcW w:w="1979" w:type="dxa"/>
            <w:vAlign w:val="center"/>
            <w:vMerge w:val="continue"/>
            <w:textDirection w:val="lrTb"/>
            <w:noWrap w:val="false"/>
          </w:tcPr>
          <w:p>
            <w:pPr>
              <w:pStyle w:val="971"/>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color w:val="000000" w:themeColor="text1"/>
                <w:highlight w:val="none"/>
              </w:rPr>
            </w: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color w:val="000000" w:themeColor="text1"/>
                <w:highlight w:val="none"/>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r/>
          </w:p>
        </w:tc>
        <w:tc>
          <w:tcPr>
            <w:tcW w:w="6095" w:type="dxa"/>
            <w:vAlign w:val="center"/>
            <w:textDirection w:val="lrTb"/>
            <w:noWrap w:val="false"/>
          </w:tcPr>
          <w:p>
            <w:pPr>
              <w:pStyle w:val="971"/>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color w:val="000000" w:themeColor="text1"/>
                <w:highlight w:val="none"/>
              </w:rPr>
            </w:r>
            <w:r/>
          </w:p>
        </w:tc>
        <w:tc>
          <w:tcPr>
            <w:tcW w:w="1979" w:type="dxa"/>
            <w:vAlign w:val="center"/>
            <w:vMerge w:val="continue"/>
            <w:textDirection w:val="lrTb"/>
            <w:noWrap w:val="false"/>
          </w:tcPr>
          <w:p>
            <w:pPr>
              <w:pStyle w:val="971"/>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r/>
          </w:p>
        </w:tc>
        <w:tc>
          <w:tcPr>
            <w:tcW w:w="6095" w:type="dxa"/>
            <w:vAlign w:val="center"/>
            <w:textDirection w:val="lrTb"/>
            <w:noWrap w:val="false"/>
          </w:tcPr>
          <w:p>
            <w:pPr>
              <w:pStyle w:val="971"/>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color w:val="000000" w:themeColor="text1"/>
                <w:highlight w:val="none"/>
              </w:rPr>
            </w:r>
            <w:r/>
          </w:p>
        </w:tc>
        <w:tc>
          <w:tcPr>
            <w:tcW w:w="1979" w:type="dxa"/>
            <w:vAlign w:val="center"/>
            <w:vMerge w:val="restart"/>
            <w:textDirection w:val="lrTb"/>
            <w:noWrap w:val="false"/>
          </w:tcPr>
          <w:p>
            <w:pPr>
              <w:pStyle w:val="971"/>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color w:val="000000" w:themeColor="text1"/>
                <w:highlight w:val="none"/>
              </w:rPr>
            </w:r>
            <w:r/>
          </w:p>
        </w:tc>
      </w:tr>
      <w:tr>
        <w:trPr>
          <w:trHeight w:val="567"/>
        </w:trPr>
        <w:tc>
          <w:tcPr>
            <w:tcW w:w="823" w:type="dxa"/>
            <w:vAlign w:val="center"/>
            <w:textDirection w:val="lrTb"/>
            <w:noWrap w:val="false"/>
          </w:tcPr>
          <w:p>
            <w:pPr>
              <w:pStyle w:val="971"/>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r/>
          </w:p>
        </w:tc>
        <w:tc>
          <w:tcPr>
            <w:tcW w:w="6095" w:type="dxa"/>
            <w:vAlign w:val="center"/>
            <w:textDirection w:val="lrTb"/>
            <w:noWrap w:val="false"/>
          </w:tcPr>
          <w:p>
            <w:pPr>
              <w:pStyle w:val="971"/>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color w:val="000000" w:themeColor="text1"/>
                <w:highlight w:val="none"/>
              </w:rPr>
            </w:r>
            <w:r/>
          </w:p>
        </w:tc>
        <w:tc>
          <w:tcPr>
            <w:tcW w:w="1979" w:type="dxa"/>
            <w:vAlign w:val="center"/>
            <w:vMerge w:val="continue"/>
            <w:textDirection w:val="lrTb"/>
            <w:noWrap w:val="false"/>
          </w:tcPr>
          <w:p>
            <w:pPr>
              <w:pStyle w:val="971"/>
              <w:ind w:firstLine="0"/>
              <w:jc w:val="both"/>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color w:val="000000" w:themeColor="text1"/>
          <w:highlight w:val="none"/>
        </w:rPr>
      </w: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color w:val="000000" w:themeColor="text1"/>
          <w:highlight w:val="none"/>
        </w:rPr>
      </w:r>
      <w:r/>
    </w:p>
    <w:p>
      <w:pPr>
        <w:pStyle w:val="883"/>
        <w:numPr>
          <w:ilvl w:val="0"/>
          <w:numId w:val="9"/>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符合性证明文件及其他证明文件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color w:val="000000" w:themeColor="text1"/>
          <w:highlight w:val="none"/>
        </w:rPr>
      </w:r>
      <w:r/>
    </w:p>
    <w:p>
      <w:pPr>
        <w:pStyle w:val="883"/>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883"/>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color w:val="000000" w:themeColor="text1"/>
          <w:highlight w:val="none"/>
        </w:rPr>
      </w:r>
      <w:r/>
    </w:p>
    <w:p>
      <w:pPr>
        <w:pStyle w:val="883"/>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color w:val="000000" w:themeColor="text1"/>
          <w:highlight w:val="none"/>
        </w:rPr>
      </w:r>
      <w:r/>
    </w:p>
    <w:p>
      <w:pPr>
        <w:pStyle w:val="883"/>
        <w:ind w:left="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color w:val="000000" w:themeColor="text1"/>
          <w:highlight w:val="none"/>
        </w:rPr>
      </w:r>
      <w:r/>
    </w:p>
    <w:p>
      <w:pPr>
        <w:pStyle w:val="883"/>
        <w:ind w:firstLine="480"/>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color w:val="000000" w:themeColor="text1"/>
          <w:highlight w:val="none"/>
        </w:rPr>
      </w:r>
      <w:r/>
    </w:p>
    <w:p>
      <w:pPr>
        <w:pStyle w:val="971"/>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color w:val="000000" w:themeColor="text1"/>
          <w:highlight w:val="none"/>
        </w:rPr>
      </w: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3"/>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color w:val="000000" w:themeColor="text1"/>
          <w:highlight w:val="none"/>
        </w:rPr>
      </w: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JSZC-320200-JZCG-G2026-0020</w:t>
      </w:r>
      <w:r>
        <w:rPr>
          <w:color w:val="000000" w:themeColor="text1"/>
          <w:highlight w:val="none"/>
        </w:rPr>
      </w: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无锡市公安局智能110项目</w:t>
      </w:r>
      <w:r>
        <w:rPr>
          <w:color w:val="000000" w:themeColor="text1"/>
          <w:highlight w:val="none"/>
        </w:rPr>
      </w: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color w:val="000000" w:themeColor="text1"/>
          <w:highlight w:val="none"/>
        </w:rPr>
      </w:r>
      <w:r/>
    </w:p>
    <w:p>
      <w:pPr>
        <w:pStyle w:val="883"/>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color w:val="000000" w:themeColor="text1"/>
          <w:highlight w:val="none"/>
        </w:rPr>
      </w:r>
      <w:r/>
    </w:p>
    <w:p>
      <w:pPr>
        <w:pStyle w:val="883"/>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color w:val="000000" w:themeColor="text1"/>
          <w:highlight w:val="none"/>
        </w:rPr>
      </w:r>
      <w:r/>
    </w:p>
    <w:p>
      <w:pPr>
        <w:pStyle w:val="883"/>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color w:val="000000" w:themeColor="text1"/>
          <w:highlight w:val="none"/>
        </w:rPr>
      </w:r>
      <w:r/>
    </w:p>
    <w:p>
      <w:pPr>
        <w:pStyle w:val="96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JSZC-320200-JZCG-G2026-0020</w:t>
      </w:r>
      <w:r>
        <w:rPr>
          <w:rFonts w:hint="eastAsia" w:ascii="宋体" w:hAnsi="宋体"/>
          <w:bCs/>
          <w:color w:val="000000" w:themeColor="text1"/>
          <w:sz w:val="24"/>
          <w:szCs w:val="24"/>
          <w:highlight w:val="none"/>
        </w:rPr>
        <w:t xml:space="preserve">项目，兹授权：</w:t>
      </w:r>
      <w:r>
        <w:rPr>
          <w:color w:val="000000" w:themeColor="text1"/>
          <w:highlight w:val="none"/>
        </w:rPr>
      </w:r>
      <w:r/>
    </w:p>
    <w:p>
      <w:pPr>
        <w:pStyle w:val="96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6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6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color w:val="000000" w:themeColor="text1"/>
          <w:highlight w:val="none"/>
        </w:rPr>
      </w:r>
      <w:r/>
    </w:p>
    <w:p>
      <w:pPr>
        <w:pStyle w:val="969"/>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color w:val="000000" w:themeColor="text1"/>
          <w:highlight w:val="none"/>
        </w:rPr>
      </w:r>
      <w:r/>
    </w:p>
    <w:p>
      <w:pPr>
        <w:pStyle w:val="969"/>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color w:val="000000" w:themeColor="text1"/>
          <w:highlight w:val="none"/>
        </w:rPr>
      </w:r>
      <w:r/>
    </w:p>
    <w:p>
      <w:pPr>
        <w:pStyle w:val="969"/>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color w:val="000000" w:themeColor="text1"/>
          <w:highlight w:val="none"/>
        </w:rPr>
      </w:r>
      <w:r/>
    </w:p>
    <w:p>
      <w:pPr>
        <w:pStyle w:val="969"/>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color w:val="000000" w:themeColor="text1"/>
          <w:highlight w:val="none"/>
        </w:rPr>
      </w:r>
      <w:r/>
    </w:p>
    <w:p>
      <w:pPr>
        <w:pStyle w:val="969"/>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color w:val="000000" w:themeColor="text1"/>
          <w:highlight w:val="none"/>
        </w:rPr>
      </w:r>
      <w:r/>
    </w:p>
    <w:p>
      <w:pPr>
        <w:pStyle w:val="969"/>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r/>
    </w:p>
    <w:p>
      <w:pPr>
        <w:pStyle w:val="969"/>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color w:val="000000" w:themeColor="text1"/>
          <w:highlight w:val="none"/>
        </w:rPr>
      </w:r>
      <w:r/>
    </w:p>
    <w:p>
      <w:pPr>
        <w:pStyle w:val="969"/>
        <w:numPr>
          <w:ilvl w:val="0"/>
          <w:numId w:val="10"/>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color w:val="000000" w:themeColor="text1"/>
          <w:highlight w:val="none"/>
        </w:rPr>
      </w:r>
      <w:r/>
    </w:p>
    <w:p>
      <w:pPr>
        <w:pStyle w:val="969"/>
        <w:numPr>
          <w:ilvl w:val="0"/>
          <w:numId w:val="1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color w:val="000000" w:themeColor="text1"/>
          <w:highlight w:val="none"/>
        </w:rPr>
      </w:r>
      <w:r/>
    </w:p>
    <w:p>
      <w:pPr>
        <w:pStyle w:val="969"/>
        <w:numPr>
          <w:ilvl w:val="0"/>
          <w:numId w:val="1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color w:val="000000" w:themeColor="text1"/>
          <w:highlight w:val="none"/>
        </w:rPr>
      </w:r>
      <w:r/>
    </w:p>
    <w:p>
      <w:pPr>
        <w:pStyle w:val="969"/>
        <w:numPr>
          <w:ilvl w:val="0"/>
          <w:numId w:val="1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color w:val="000000" w:themeColor="text1"/>
          <w:highlight w:val="none"/>
        </w:rPr>
      </w:r>
      <w:r/>
    </w:p>
    <w:p>
      <w:pPr>
        <w:pStyle w:val="969"/>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color w:val="000000" w:themeColor="text1"/>
          <w:highlight w:val="none"/>
        </w:rPr>
      </w:r>
      <w:r/>
    </w:p>
    <w:p>
      <w:pPr>
        <w:pStyle w:val="883"/>
        <w:jc w:val="center"/>
        <w:rPr>
          <w:rFonts w:ascii="黑体" w:eastAsia="黑体"/>
          <w:bCs/>
          <w:color w:val="000000" w:themeColor="text1"/>
          <w:sz w:val="28"/>
          <w:szCs w:val="28"/>
          <w:highlight w:val="none"/>
        </w:rPr>
        <w:outlineLvl w:val="0"/>
      </w:pPr>
      <w:r>
        <w:rPr>
          <w:color w:val="000000" w:themeColor="text1"/>
          <w:highlight w:val="none"/>
        </w:rPr>
      </w:r>
      <w:bookmarkStart w:id="202" w:name="报价方关于资格的声明函（格式）"/>
      <w:r>
        <w:rPr>
          <w:color w:val="000000" w:themeColor="text1"/>
          <w:highlight w:val="none"/>
        </w:rPr>
      </w:r>
      <w:bookmarkEnd w:id="202"/>
      <w:r>
        <w:rPr>
          <w:rFonts w:hint="eastAsia" w:ascii="黑体" w:eastAsia="黑体"/>
          <w:bCs/>
          <w:color w:val="000000" w:themeColor="text1"/>
          <w:sz w:val="28"/>
          <w:szCs w:val="28"/>
          <w:highlight w:val="none"/>
        </w:rPr>
        <w:t xml:space="preserve">资格声明函</w:t>
      </w:r>
      <w:r>
        <w:rPr>
          <w:color w:val="000000" w:themeColor="text1"/>
          <w:highlight w:val="none"/>
        </w:rPr>
      </w:r>
      <w:r/>
    </w:p>
    <w:p>
      <w:pPr>
        <w:pStyle w:val="883"/>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3"/>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color w:val="000000" w:themeColor="text1"/>
          <w:highlight w:val="none"/>
        </w:rPr>
      </w:r>
      <w:r/>
    </w:p>
    <w:p>
      <w:pPr>
        <w:pStyle w:val="883"/>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JSZC-320200-JZCG-G2026-0020</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color w:val="000000" w:themeColor="text1"/>
          <w:highlight w:val="none"/>
        </w:rPr>
      </w: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color w:val="000000" w:themeColor="text1"/>
          <w:highlight w:val="none"/>
        </w:rPr>
      </w: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color w:val="000000" w:themeColor="text1"/>
          <w:highlight w:val="none"/>
        </w:rPr>
      </w: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83"/>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color w:val="000000" w:themeColor="text1"/>
          <w:highlight w:val="none"/>
        </w:rPr>
      </w:r>
      <w:r/>
    </w:p>
    <w:p>
      <w:pPr>
        <w:pStyle w:val="883"/>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3"/>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3"/>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rPr>
          <w:color w:val="000000" w:themeColor="text1"/>
          <w:highlight w:val="none"/>
        </w:rPr>
      </w:r>
      <w:r/>
    </w:p>
    <w:p>
      <w:pPr>
        <w:pStyle w:val="883"/>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color w:val="000000" w:themeColor="text1"/>
          <w:highlight w:val="none"/>
        </w:rPr>
      </w: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83"/>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000000" w:themeColor="text1"/>
          <w:highlight w:val="none"/>
        </w:rPr>
      </w:r>
      <w:r/>
    </w:p>
    <w:p>
      <w:pPr>
        <w:pStyle w:val="883"/>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color w:val="000000" w:themeColor="text1"/>
          <w:highlight w:val="none"/>
        </w:rPr>
      </w:r>
      <w:r/>
    </w:p>
    <w:p>
      <w:pPr>
        <w:pStyle w:val="883"/>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83"/>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3"/>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r/>
    </w:p>
    <w:p>
      <w:pPr>
        <w:pStyle w:val="883"/>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p>
    <w:p>
      <w:pPr>
        <w:pStyle w:val="883"/>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r/>
    </w:p>
    <w:p>
      <w:pPr>
        <w:pStyle w:val="883"/>
        <w:jc w:val="both"/>
        <w:spacing w:line="360" w:lineRule="auto"/>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883"/>
        <w:ind w:firstLine="560"/>
        <w:jc w:val="center"/>
        <w:spacing w:line="360" w:lineRule="auto"/>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关于符合本国产品标准的声明函</w:t>
      </w:r>
      <w:r>
        <w:rPr>
          <w:color w:val="000000" w:themeColor="text1"/>
          <w:highlight w:val="none"/>
        </w:rPr>
      </w:r>
      <w:r/>
    </w:p>
    <w:p>
      <w:pPr>
        <w:pStyle w:val="883"/>
        <w:ind w:firstLine="420"/>
        <w:spacing w:line="360" w:lineRule="auto"/>
        <w:rPr>
          <w:color w:val="000000" w:themeColor="text1"/>
          <w:highlight w:val="none"/>
        </w:rPr>
      </w:pPr>
      <w:r>
        <w:rPr>
          <w:color w:val="000000" w:themeColor="text1"/>
          <w:highlight w:val="none"/>
        </w:rPr>
        <w:t xml:space="preserve"> </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rPr>
          <w:color w:val="000000" w:themeColor="text1"/>
          <w:highlight w:val="none"/>
        </w:rPr>
      </w:r>
      <w:r/>
    </w:p>
    <w:p>
      <w:pPr>
        <w:pStyle w:val="883"/>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color w:val="000000" w:themeColor="text1"/>
          <w:highlight w:val="none"/>
        </w:rPr>
      </w: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rPr>
          <w:color w:val="000000" w:themeColor="text1"/>
          <w:highlight w:val="none"/>
        </w:rPr>
      </w: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rPr>
          <w:color w:val="000000" w:themeColor="text1"/>
          <w:highlight w:val="none"/>
        </w:rPr>
      </w:r>
      <w:r/>
    </w:p>
    <w:p>
      <w:pPr>
        <w:pStyle w:val="883"/>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rPr>
          <w:color w:val="000000" w:themeColor="text1"/>
          <w:highlight w:val="none"/>
        </w:rPr>
      </w:r>
      <w:r/>
    </w:p>
    <w:p>
      <w:pPr>
        <w:pStyle w:val="883"/>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rPr>
          <w:color w:val="000000" w:themeColor="text1"/>
          <w:highlight w:val="none"/>
        </w:rPr>
      </w:r>
      <w:r/>
    </w:p>
    <w:p>
      <w:pPr>
        <w:pStyle w:val="883"/>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rPr>
          <w:color w:val="000000" w:themeColor="text1"/>
          <w:highlight w:val="none"/>
        </w:rPr>
      </w:r>
      <w:r/>
    </w:p>
    <w:p>
      <w:pPr>
        <w:pStyle w:val="883"/>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rPr>
          <w:color w:val="000000" w:themeColor="text1"/>
          <w:highlight w:val="none"/>
        </w:rPr>
      </w:r>
      <w:r/>
    </w:p>
    <w:p>
      <w:pPr>
        <w:pStyle w:val="883"/>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rPr>
          <w:color w:val="000000" w:themeColor="text1"/>
          <w:highlight w:val="none"/>
        </w:rPr>
      </w:r>
      <w:r/>
    </w:p>
    <w:p>
      <w:pPr>
        <w:pStyle w:val="883"/>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rPr>
          <w:color w:val="000000" w:themeColor="text1"/>
          <w:highlight w:val="none"/>
        </w:rPr>
      </w:r>
      <w:r/>
    </w:p>
    <w:p>
      <w:pPr>
        <w:pStyle w:val="883"/>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rPr>
          <w:color w:val="000000" w:themeColor="text1"/>
          <w:highlight w:val="none"/>
        </w:rPr>
      </w:r>
      <w:r/>
    </w:p>
    <w:p>
      <w:pPr>
        <w:pStyle w:val="883"/>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rPr>
          <w:color w:val="000000" w:themeColor="text1"/>
          <w:highlight w:val="none"/>
        </w:rPr>
      </w:r>
      <w:r/>
    </w:p>
    <w:p>
      <w:pPr>
        <w:pStyle w:val="883"/>
        <w:ind w:firstLine="482"/>
        <w:jc w:val="left"/>
        <w:spacing w:line="360" w:lineRule="auto"/>
        <w:shd w:val="clear" w:color="auto" w:fill="ffffff"/>
        <w:widowControl/>
        <w:rPr>
          <w:rFonts w:hint="eastAsia" w:ascii="宋体" w:hAnsi="宋体" w:cs="宋体"/>
          <w:b/>
          <w:color w:val="000000" w:themeColor="text1"/>
          <w:sz w:val="18"/>
          <w:szCs w:val="18"/>
          <w:highlight w:val="none"/>
        </w:rPr>
      </w:pPr>
      <w:r>
        <w:rPr>
          <w:rFonts w:hint="eastAsia" w:ascii="宋体" w:hAnsi="宋体" w:cs="宋体"/>
          <w:b/>
          <w:color w:val="000000" w:themeColor="text1"/>
          <w:sz w:val="18"/>
          <w:szCs w:val="18"/>
          <w:highlight w:val="none"/>
        </w:rPr>
        <w:t xml:space="preserve">注：划删除线的地方无需填写。</w:t>
      </w:r>
      <w:r>
        <w:rPr>
          <w:color w:val="000000" w:themeColor="text1"/>
          <w:highlight w:val="none"/>
        </w:rPr>
      </w: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3"/>
        <w:ind w:firstLine="420"/>
        <w:spacing w:line="360" w:lineRule="auto"/>
        <w:rPr>
          <w:color w:val="000000" w:themeColor="text1"/>
          <w:highlight w:val="none"/>
        </w:rPr>
      </w:pPr>
      <w:r>
        <w:rPr>
          <w:color w:val="000000" w:themeColor="text1"/>
          <w:highlight w:val="none"/>
        </w:rPr>
      </w:r>
      <w:r>
        <w:rPr>
          <w:color w:val="000000" w:themeColor="text1"/>
          <w:highlight w:val="none"/>
        </w:rPr>
      </w:r>
      <w:r/>
    </w:p>
    <w:p>
      <w:pPr>
        <w:pStyle w:val="883"/>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color w:val="000000" w:themeColor="text1"/>
          <w:highlight w:val="none"/>
        </w:rPr>
      </w:r>
      <w:r/>
    </w:p>
    <w:p>
      <w:pPr>
        <w:pStyle w:val="883"/>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r/>
    </w:p>
    <w:p>
      <w:pPr>
        <w:pStyle w:val="883"/>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r/>
    </w:p>
    <w:p>
      <w:pPr>
        <w:pStyle w:val="883"/>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883"/>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3"/>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83"/>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color w:val="000000" w:themeColor="text1"/>
          <w:highlight w:val="none"/>
        </w:rPr>
      </w:r>
      <w:r/>
    </w:p>
    <w:p>
      <w:pPr>
        <w:pStyle w:val="883"/>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r/>
    </w:p>
    <w:p>
      <w:pPr>
        <w:pStyle w:val="883"/>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r/>
    </w:p>
    <w:p>
      <w:pPr>
        <w:pStyle w:val="883"/>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color w:val="000000" w:themeColor="text1"/>
          <w:highlight w:val="none"/>
        </w:rPr>
      </w:r>
      <w:r/>
    </w:p>
    <w:p>
      <w:pPr>
        <w:pStyle w:val="883"/>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3"/>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JSZC-320200-JZCG-G2026-0020</w:t>
      </w:r>
      <w:r>
        <w:rPr>
          <w:rFonts w:hint="eastAsia" w:ascii="宋体" w:hAnsi="宋体"/>
          <w:bCs/>
          <w:color w:val="000000" w:themeColor="text1"/>
          <w:sz w:val="24"/>
          <w:szCs w:val="24"/>
          <w:highlight w:val="none"/>
        </w:rPr>
        <w:t xml:space="preserve">招标文件，经仔细阅读和研究，我方决定参加此项目的投标。</w:t>
      </w:r>
      <w:r>
        <w:rPr>
          <w:color w:val="000000" w:themeColor="text1"/>
          <w:highlight w:val="none"/>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8"/>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color w:val="000000" w:themeColor="text1"/>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color w:val="000000" w:themeColor="text1"/>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color w:val="000000" w:themeColor="text1"/>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color w:val="000000" w:themeColor="text1"/>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color w:val="000000" w:themeColor="text1"/>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color w:val="000000" w:themeColor="text1"/>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pStyle w:val="883"/>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3"/>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83"/>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83"/>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3"/>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color w:val="000000" w:themeColor="text1"/>
          <w:highlight w:val="none"/>
        </w:rPr>
      </w:r>
      <w:r/>
    </w:p>
    <w:p>
      <w:pPr>
        <w:pStyle w:val="883"/>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r/>
    </w:p>
    <w:p>
      <w:pPr>
        <w:pStyle w:val="883"/>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JSZC-320200-JZCG-G2026-0020</w:t>
      </w:r>
      <w:r>
        <w:rPr>
          <w:rFonts w:hint="eastAsia" w:ascii="宋体" w:hAnsi="宋体"/>
          <w:color w:val="000000" w:themeColor="text1"/>
          <w:sz w:val="24"/>
          <w:szCs w:val="24"/>
          <w:highlight w:val="none"/>
        </w:rPr>
        <w:t xml:space="preserve">在此承诺：</w:t>
      </w:r>
      <w:r>
        <w:rPr>
          <w:color w:val="000000" w:themeColor="text1"/>
          <w:highlight w:val="none"/>
        </w:rPr>
      </w:r>
      <w:r/>
    </w:p>
    <w:p>
      <w:pPr>
        <w:pStyle w:val="883"/>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rPr>
          <w:color w:val="000000" w:themeColor="text1"/>
          <w:highlight w:val="none"/>
        </w:rPr>
      </w: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color w:val="000000" w:themeColor="text1"/>
          <w:highlight w:val="none"/>
        </w:rPr>
      </w:r>
      <w:r/>
    </w:p>
    <w:p>
      <w:pPr>
        <w:pStyle w:val="883"/>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000000" w:themeColor="text1"/>
          <w:highlight w:val="none"/>
        </w:rPr>
      </w:r>
      <w:r/>
    </w:p>
    <w:p>
      <w:pPr>
        <w:pStyle w:val="883"/>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color w:val="000000" w:themeColor="text1"/>
          <w:highlight w:val="none"/>
        </w:rPr>
      </w: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color w:val="000000" w:themeColor="text1"/>
          <w:highlight w:val="none"/>
        </w:rPr>
      </w:r>
      <w:r/>
    </w:p>
    <w:p>
      <w:pPr>
        <w:pStyle w:val="883"/>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color w:val="000000" w:themeColor="text1"/>
          <w:highlight w:val="none"/>
        </w:rPr>
      </w: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r/>
    </w:p>
    <w:p>
      <w:pPr>
        <w:pStyle w:val="883"/>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color w:val="000000" w:themeColor="text1"/>
          <w:highlight w:val="none"/>
        </w:rPr>
      </w: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r/>
    </w:p>
    <w:p>
      <w:pPr>
        <w:pStyle w:val="883"/>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color w:val="000000" w:themeColor="text1"/>
          <w:highlight w:val="none"/>
        </w:rPr>
      </w:r>
      <w:r/>
    </w:p>
    <w:p>
      <w:pPr>
        <w:pStyle w:val="883"/>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3"/>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3"/>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color w:val="000000" w:themeColor="text1"/>
          <w:highlight w:val="none"/>
        </w:rPr>
      </w:r>
      <w:r/>
    </w:p>
    <w:p>
      <w:pPr>
        <w:pStyle w:val="883"/>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r/>
    </w:p>
    <w:p>
      <w:pPr>
        <w:pStyle w:val="883"/>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color w:val="000000" w:themeColor="text1"/>
          <w:highlight w:val="none"/>
        </w:rPr>
      </w:r>
      <w:r/>
    </w:p>
    <w:p>
      <w:pPr>
        <w:pStyle w:val="883"/>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3"/>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项目编号：</w:t>
      </w:r>
      <w:r>
        <w:rPr>
          <w:rFonts w:hint="eastAsia" w:ascii="黑体" w:eastAsia="黑体"/>
          <w:bCs/>
          <w:color w:val="000000" w:themeColor="text1"/>
          <w:sz w:val="24"/>
          <w:szCs w:val="24"/>
          <w:highlight w:val="none"/>
          <w:lang w:eastAsia="zh-CN"/>
        </w:rPr>
        <w:t xml:space="preserve">JSZC-320200-JZCG-G2026-0020</w:t>
      </w:r>
      <w:r>
        <w:rPr>
          <w:color w:val="000000" w:themeColor="text1"/>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color w:val="000000" w:themeColor="text1"/>
                <w:highlight w:val="none"/>
              </w:rPr>
            </w:r>
            <w:r/>
          </w:p>
        </w:tc>
        <w:tc>
          <w:tcPr>
            <w:tcW w:w="3188"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rPr>
                <w:color w:val="000000" w:themeColor="text1"/>
                <w:highlight w:val="none"/>
              </w:rPr>
            </w:r>
            <w:r/>
          </w:p>
        </w:tc>
      </w:tr>
      <w:tr>
        <w:trPr>
          <w:cantSplit/>
          <w:trHeight w:val="1630"/>
        </w:trPr>
        <w:tc>
          <w:tcPr>
            <w:tcW w:w="5697" w:type="dxa"/>
            <w:vAlign w:val="center"/>
            <w:textDirection w:val="lrTb"/>
            <w:noWrap w:val="false"/>
          </w:tcPr>
          <w:p>
            <w:pPr>
              <w:pStyle w:val="997"/>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无锡市公安局智能110项目</w:t>
            </w:r>
            <w:r>
              <w:rPr>
                <w:color w:val="000000" w:themeColor="text1"/>
                <w:highlight w:val="none"/>
              </w:rPr>
            </w:r>
            <w:r/>
          </w:p>
        </w:tc>
        <w:tc>
          <w:tcPr>
            <w:tcW w:w="3188" w:type="dxa"/>
            <w:vAlign w:val="center"/>
            <w:textDirection w:val="lrTb"/>
            <w:noWrap w:val="false"/>
          </w:tcPr>
          <w:p>
            <w:pPr>
              <w:pStyle w:val="997"/>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r/>
          </w:p>
        </w:tc>
      </w:tr>
      <w:tr>
        <w:trPr>
          <w:cantSplit/>
          <w:trHeight w:val="780"/>
        </w:trPr>
        <w:tc>
          <w:tcPr>
            <w:gridSpan w:val="2"/>
            <w:tcW w:w="8885" w:type="dxa"/>
            <w:vAlign w:val="center"/>
            <w:textDirection w:val="lrTb"/>
            <w:noWrap w:val="false"/>
          </w:tcPr>
          <w:p>
            <w:pPr>
              <w:pStyle w:val="883"/>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　　　</w:t>
            </w:r>
            <w:r>
              <w:rPr>
                <w:color w:val="000000" w:themeColor="text1"/>
                <w:highlight w:val="none"/>
              </w:rPr>
            </w:r>
            <w:r/>
          </w:p>
        </w:tc>
      </w:tr>
    </w:tbl>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000000" w:themeColor="text1"/>
          <w:highlight w:val="none"/>
        </w:rPr>
      </w:r>
      <w:r/>
    </w:p>
    <w:p>
      <w:pPr>
        <w:pStyle w:val="883"/>
        <w:spacing w:line="360" w:lineRule="auto"/>
        <w:rPr>
          <w:rFonts w:hint="eastAsia" w:ascii="宋体" w:hAnsi="宋体"/>
          <w:bCs/>
          <w:color w:val="000000" w:themeColor="text1"/>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Start w:id="203" w:name="_Toc120614284"/>
      <w:r>
        <w:rPr>
          <w:color w:val="000000" w:themeColor="text1"/>
          <w:highlight w:val="none"/>
        </w:rPr>
      </w:r>
      <w:r/>
    </w:p>
    <w:p>
      <w:pPr>
        <w:pStyle w:val="883"/>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color w:val="000000" w:themeColor="text1"/>
          <w:highlight w:val="none"/>
        </w:rPr>
      </w: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JSZC-320200-JZCG-G2026-0020</w:t>
      </w:r>
      <w:r>
        <w:rPr>
          <w:color w:val="000000" w:themeColor="text1"/>
          <w:highlight w:val="none"/>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gridSpan w:val="9"/>
            <w:tcMar>
              <w:left w:w="15" w:type="dxa"/>
              <w:top w:w="15" w:type="dxa"/>
              <w:right w:w="15" w:type="dxa"/>
              <w:bottom w:w="0" w:type="dxa"/>
            </w:tcMar>
            <w:tcW w:w="9975" w:type="dxa"/>
            <w:vAlign w:val="center"/>
            <w:textDirection w:val="lrTb"/>
            <w:noWrap/>
          </w:tcPr>
          <w:p>
            <w:pPr>
              <w:pStyle w:val="883"/>
              <w:spacing w:before="5"/>
              <w:rPr>
                <w:rFonts w:hint="eastAsia"/>
                <w:color w:val="000000" w:themeColor="text1"/>
                <w:sz w:val="18"/>
                <w:highlight w:val="none"/>
              </w:rPr>
            </w:pPr>
            <w:r>
              <w:rPr>
                <w:rFonts w:hint="eastAsia"/>
                <w:b/>
                <w:bCs/>
                <w:color w:val="000000" w:themeColor="text1"/>
                <w:sz w:val="24"/>
                <w:szCs w:val="24"/>
                <w:highlight w:val="none"/>
              </w:rPr>
              <w:t xml:space="preserve">服务部分</w:t>
            </w:r>
            <w:r>
              <w:rPr>
                <w:color w:val="000000" w:themeColor="text1"/>
                <w:highlight w:val="none"/>
              </w:rPr>
            </w: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highlight w:val="none"/>
              </w:rPr>
            </w:r>
            <w:r/>
          </w:p>
        </w:tc>
        <w:tc>
          <w:tcPr>
            <w:gridSpan w:val="4"/>
            <w:tcMar>
              <w:left w:w="15" w:type="dxa"/>
              <w:top w:w="15" w:type="dxa"/>
              <w:right w:w="15" w:type="dxa"/>
              <w:bottom w:w="0" w:type="dxa"/>
            </w:tcMar>
            <w:tcW w:w="5639" w:type="dxa"/>
            <w:vAlign w:val="center"/>
            <w:textDirection w:val="lrTb"/>
            <w:noWrap/>
          </w:tcPr>
          <w:p>
            <w:pPr>
              <w:pStyle w:val="883"/>
              <w:jc w:val="center"/>
              <w:spacing w:before="5"/>
              <w:rPr>
                <w:rFonts w:hint="eastAsia"/>
                <w:color w:val="000000" w:themeColor="text1"/>
                <w:sz w:val="18"/>
                <w:highlight w:val="none"/>
              </w:rPr>
            </w:pPr>
            <w:r>
              <w:rPr>
                <w:rFonts w:hint="eastAsia"/>
                <w:color w:val="000000" w:themeColor="text1"/>
                <w:sz w:val="18"/>
                <w:highlight w:val="none"/>
              </w:rPr>
              <w:t xml:space="preserve">服务内容</w:t>
            </w:r>
            <w:r>
              <w:rPr>
                <w:color w:val="000000" w:themeColor="text1"/>
                <w:highlight w:val="none"/>
              </w:rPr>
            </w:r>
            <w:r/>
          </w:p>
        </w:tc>
        <w:tc>
          <w:tcPr>
            <w:tcW w:w="1276" w:type="dxa"/>
            <w:vAlign w:val="center"/>
            <w:textDirection w:val="lrTb"/>
            <w:noWrap w:val="false"/>
          </w:tcPr>
          <w:p>
            <w:pPr>
              <w:pStyle w:val="883"/>
              <w:jc w:val="center"/>
              <w:spacing w:before="5"/>
              <w:rPr>
                <w:rFonts w:hint="eastAsia"/>
                <w:color w:val="000000" w:themeColor="text1"/>
                <w:sz w:val="18"/>
                <w:highlight w:val="none"/>
              </w:rPr>
            </w:pPr>
            <w:r>
              <w:rPr>
                <w:rFonts w:hint="eastAsia"/>
                <w:color w:val="000000" w:themeColor="text1"/>
                <w:sz w:val="18"/>
                <w:highlight w:val="none"/>
              </w:rPr>
              <w:t xml:space="preserve">数量</w:t>
            </w:r>
            <w:r>
              <w:rPr>
                <w:color w:val="000000" w:themeColor="text1"/>
                <w:highlight w:val="none"/>
              </w:rPr>
            </w:r>
            <w:r/>
          </w:p>
        </w:tc>
        <w:tc>
          <w:tcPr>
            <w:tcMar>
              <w:left w:w="15" w:type="dxa"/>
              <w:top w:w="15" w:type="dxa"/>
              <w:right w:w="15" w:type="dxa"/>
              <w:bottom w:w="0" w:type="dxa"/>
            </w:tcMar>
            <w:tcW w:w="992" w:type="dxa"/>
            <w:vAlign w:val="center"/>
            <w:textDirection w:val="lrTb"/>
            <w:noWrap/>
          </w:tcPr>
          <w:p>
            <w:pPr>
              <w:pStyle w:val="883"/>
              <w:jc w:val="center"/>
              <w:spacing w:before="5"/>
              <w:rPr>
                <w:rFonts w:hint="eastAsia"/>
                <w:color w:val="000000" w:themeColor="text1"/>
                <w:sz w:val="18"/>
                <w:highlight w:val="none"/>
              </w:rPr>
            </w:pPr>
            <w:r>
              <w:rPr>
                <w:rFonts w:hint="eastAsia"/>
                <w:color w:val="000000" w:themeColor="text1"/>
                <w:sz w:val="18"/>
                <w:highlight w:val="none"/>
              </w:rPr>
              <w:t xml:space="preserve">单位</w:t>
            </w:r>
            <w:r>
              <w:rPr>
                <w:color w:val="000000" w:themeColor="text1"/>
                <w:highlight w:val="none"/>
              </w:rPr>
            </w:r>
            <w:r/>
          </w:p>
        </w:tc>
        <w:tc>
          <w:tcPr>
            <w:tcW w:w="70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highlight w:val="none"/>
              </w:rPr>
            </w:r>
            <w:r/>
          </w:p>
        </w:tc>
        <w:tc>
          <w:tcPr>
            <w:tcW w:w="93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color w:val="000000" w:themeColor="text1"/>
                <w:highlight w:val="none"/>
              </w:rPr>
            </w: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themeColor="text1"/>
                <w:sz w:val="18"/>
                <w:highlight w:val="none"/>
              </w:rPr>
            </w:pPr>
            <w:r>
              <w:rPr>
                <w:rFonts w:hint="eastAsia" w:ascii="宋体"/>
                <w:color w:val="000000" w:themeColor="text1"/>
                <w:sz w:val="18"/>
                <w:highlight w:val="none"/>
              </w:rPr>
              <w:t xml:space="preserve">2</w:t>
            </w:r>
            <w:r>
              <w:rPr>
                <w:color w:val="000000" w:themeColor="text1"/>
                <w:highlight w:val="none"/>
              </w:rPr>
            </w:r>
            <w:r/>
          </w:p>
        </w:tc>
        <w:tc>
          <w:tcPr>
            <w:gridSpan w:val="4"/>
            <w:tcMar>
              <w:left w:w="15" w:type="dxa"/>
              <w:top w:w="15" w:type="dxa"/>
              <w:right w:w="15" w:type="dxa"/>
              <w:bottom w:w="0" w:type="dxa"/>
            </w:tcMar>
            <w:tcW w:w="5639"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宋体"/>
                <w:color w:val="000000" w:themeColor="text1"/>
                <w:highlight w:val="none"/>
              </w:rPr>
              <w:t xml:space="preserve">......</w:t>
            </w:r>
            <w:r>
              <w:rPr>
                <w:color w:val="000000" w:themeColor="text1"/>
                <w:highlight w:val="none"/>
              </w:rPr>
            </w: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465"/>
        </w:trPr>
        <w:tc>
          <w:tcPr>
            <w:gridSpan w:val="9"/>
            <w:tcMar>
              <w:left w:w="15" w:type="dxa"/>
              <w:top w:w="15" w:type="dxa"/>
              <w:right w:w="15" w:type="dxa"/>
              <w:bottom w:w="0" w:type="dxa"/>
            </w:tcMar>
            <w:tcW w:w="9975" w:type="dxa"/>
            <w:vAlign w:val="center"/>
            <w:textDirection w:val="lrTb"/>
            <w:noWrap/>
          </w:tcPr>
          <w:p>
            <w:pPr>
              <w:pStyle w:val="883"/>
              <w:spacing w:before="5"/>
              <w:rPr>
                <w:color w:val="000000" w:themeColor="text1"/>
                <w:sz w:val="18"/>
                <w:highlight w:val="none"/>
              </w:rPr>
            </w:pPr>
            <w:r>
              <w:rPr>
                <w:rFonts w:hint="eastAsia"/>
                <w:b/>
                <w:bCs/>
                <w:color w:val="000000" w:themeColor="text1"/>
                <w:sz w:val="24"/>
                <w:szCs w:val="24"/>
                <w:highlight w:val="none"/>
              </w:rPr>
              <w:t xml:space="preserve">货物部分</w:t>
            </w:r>
            <w:r>
              <w:rPr>
                <w:color w:val="000000" w:themeColor="text1"/>
                <w:highlight w:val="none"/>
              </w:rPr>
            </w:r>
            <w:r/>
          </w:p>
        </w:tc>
      </w:tr>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highlight w:val="none"/>
              </w:rPr>
            </w:r>
            <w:r/>
          </w:p>
        </w:tc>
        <w:tc>
          <w:tcPr>
            <w:tcMar>
              <w:left w:w="15" w:type="dxa"/>
              <w:top w:w="15" w:type="dxa"/>
              <w:right w:w="15" w:type="dxa"/>
              <w:bottom w:w="0" w:type="dxa"/>
            </w:tcMar>
            <w:tcW w:w="105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名称</w:t>
            </w:r>
            <w:r>
              <w:rPr>
                <w:color w:val="000000" w:themeColor="text1"/>
                <w:highlight w:val="none"/>
              </w:rPr>
            </w:r>
            <w:r/>
          </w:p>
        </w:tc>
        <w:tc>
          <w:tcPr>
            <w:tcMar>
              <w:left w:w="15" w:type="dxa"/>
              <w:top w:w="15" w:type="dxa"/>
              <w:right w:w="15" w:type="dxa"/>
              <w:bottom w:w="0" w:type="dxa"/>
            </w:tcMar>
            <w:tcW w:w="945"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品牌型号</w:t>
            </w:r>
            <w:r>
              <w:rPr>
                <w:color w:val="000000" w:themeColor="text1"/>
                <w:highlight w:val="none"/>
              </w:rPr>
            </w:r>
            <w:r/>
          </w:p>
        </w:tc>
        <w:tc>
          <w:tcPr>
            <w:tcMar>
              <w:left w:w="15" w:type="dxa"/>
              <w:top w:w="15" w:type="dxa"/>
              <w:right w:w="15" w:type="dxa"/>
              <w:bottom w:w="0" w:type="dxa"/>
            </w:tcMar>
            <w:tcW w:w="3045"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性能指标</w:t>
            </w:r>
            <w:r>
              <w:rPr>
                <w:color w:val="000000" w:themeColor="text1"/>
                <w:highlight w:val="none"/>
              </w:rPr>
            </w:r>
            <w:r/>
          </w:p>
        </w:tc>
        <w:tc>
          <w:tcPr>
            <w:tcMar>
              <w:left w:w="15" w:type="dxa"/>
              <w:top w:w="15" w:type="dxa"/>
              <w:right w:w="15" w:type="dxa"/>
              <w:bottom w:w="0" w:type="dxa"/>
            </w:tcMar>
            <w:tcW w:w="59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highlight w:val="none"/>
              </w:rPr>
            </w:r>
            <w:r/>
          </w:p>
        </w:tc>
        <w:tc>
          <w:tcPr>
            <w:tcW w:w="1276"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产地</w:t>
            </w:r>
            <w:r>
              <w:rPr>
                <w:color w:val="000000" w:themeColor="text1"/>
                <w:highlight w:val="none"/>
              </w:rPr>
            </w:r>
            <w:r/>
          </w:p>
        </w:tc>
        <w:tc>
          <w:tcPr>
            <w:tcMar>
              <w:left w:w="15" w:type="dxa"/>
              <w:top w:w="15" w:type="dxa"/>
              <w:right w:w="15" w:type="dxa"/>
              <w:bottom w:w="0" w:type="dxa"/>
            </w:tcMar>
            <w:tcW w:w="992"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质保期</w:t>
            </w:r>
            <w:r>
              <w:rPr>
                <w:color w:val="000000" w:themeColor="text1"/>
                <w:highlight w:val="none"/>
              </w:rPr>
            </w:r>
            <w:r/>
          </w:p>
        </w:tc>
        <w:tc>
          <w:tcPr>
            <w:tcW w:w="70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highlight w:val="none"/>
              </w:rPr>
            </w:r>
            <w:r/>
          </w:p>
        </w:tc>
        <w:tc>
          <w:tcPr>
            <w:tcW w:w="939"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33"/>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color w:val="000000" w:themeColor="text1"/>
                <w:highlight w:val="none"/>
              </w:rPr>
            </w:r>
            <w:r/>
          </w:p>
        </w:tc>
        <w:tc>
          <w:tcPr>
            <w:tcMar>
              <w:left w:w="15" w:type="dxa"/>
              <w:top w:w="15" w:type="dxa"/>
              <w:right w:w="15" w:type="dxa"/>
              <w:bottom w:w="0" w:type="dxa"/>
            </w:tcMar>
            <w:tcW w:w="1050" w:type="dxa"/>
            <w:vAlign w:val="center"/>
            <w:textDirection w:val="lrTb"/>
            <w:noWrap/>
          </w:tcPr>
          <w:p>
            <w:pPr>
              <w:pStyle w:val="933"/>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r/>
          </w:p>
        </w:tc>
        <w:tc>
          <w:tcPr>
            <w:tcMar>
              <w:left w:w="15" w:type="dxa"/>
              <w:top w:w="15" w:type="dxa"/>
              <w:right w:w="15" w:type="dxa"/>
              <w:bottom w:w="0" w:type="dxa"/>
            </w:tcMar>
            <w:tcW w:w="3045" w:type="dxa"/>
            <w:vAlign w:val="top"/>
            <w:textDirection w:val="lrTb"/>
            <w:noWrap w:val="false"/>
          </w:tcPr>
          <w:p>
            <w:pPr>
              <w:pStyle w:val="883"/>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themeColor="text1"/>
                <w:sz w:val="18"/>
                <w:highlight w:val="none"/>
              </w:rPr>
            </w:pPr>
            <w:r>
              <w:rPr>
                <w:rFonts w:hint="eastAsia" w:ascii="宋体"/>
                <w:color w:val="000000" w:themeColor="text1"/>
                <w:sz w:val="18"/>
                <w:highlight w:val="none"/>
              </w:rPr>
              <w:t xml:space="preserve">2</w:t>
            </w:r>
            <w:r>
              <w:rPr>
                <w:color w:val="000000" w:themeColor="text1"/>
                <w:highlight w:val="none"/>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themeColor="text1"/>
                <w:highlight w:val="none"/>
              </w:rPr>
            </w:pPr>
            <w:r>
              <w:rPr>
                <w:rFonts w:hint="eastAsia" w:ascii="宋体"/>
                <w:color w:val="000000" w:themeColor="text1"/>
                <w:highlight w:val="none"/>
              </w:rPr>
              <w:t xml:space="preserve">......</w:t>
            </w:r>
            <w:r>
              <w:rPr>
                <w:color w:val="000000" w:themeColor="text1"/>
                <w:highlight w:val="none"/>
              </w:rPr>
            </w:r>
            <w:r/>
          </w:p>
        </w:tc>
        <w:tc>
          <w:tcPr>
            <w:tcMar>
              <w:left w:w="15" w:type="dxa"/>
              <w:top w:w="15" w:type="dxa"/>
              <w:right w:w="15" w:type="dxa"/>
              <w:bottom w:w="0" w:type="dxa"/>
            </w:tcMar>
            <w:tcW w:w="945" w:type="dxa"/>
            <w:vAlign w:val="center"/>
            <w:textDirection w:val="lrTb"/>
            <w:noWrap w:val="false"/>
          </w:tcPr>
          <w:p>
            <w:pPr>
              <w:pStyle w:val="933"/>
              <w:tabs>
                <w:tab w:val="clear" w:pos="4153" w:leader="none"/>
                <w:tab w:val="clear" w:pos="8306" w:leader="none"/>
              </w:tabs>
              <w:rPr>
                <w:rFonts w:ascii="宋体"/>
                <w:bCs/>
                <w:color w:val="000000" w:themeColor="text1"/>
                <w:highlight w:val="none"/>
              </w:rPr>
              <w:pBdr>
                <w:bottom w:val="none" w:color="000000" w:sz="0" w:space="0"/>
              </w:pBdr>
            </w:pPr>
            <w:r>
              <w:rPr>
                <w:rFonts w:ascii="宋体"/>
                <w:bCs/>
                <w:color w:val="000000" w:themeColor="text1"/>
                <w:highlight w:val="none"/>
                <w:lang w:val="en-US" w:eastAsia="zh-CN"/>
              </w:rPr>
            </w:r>
            <w:r>
              <w:rPr>
                <w:color w:val="000000" w:themeColor="text1"/>
                <w:highlight w:val="none"/>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themeColor="text1"/>
                <w:sz w:val="18"/>
                <w:highlight w:val="none"/>
              </w:rPr>
            </w:pPr>
            <w:r>
              <w:rPr>
                <w:rFonts w:ascii="宋体"/>
                <w:bCs/>
                <w:color w:val="000000" w:themeColor="text1"/>
                <w:sz w:val="18"/>
                <w:highlight w:val="none"/>
              </w:rPr>
            </w:r>
            <w:r>
              <w:rPr>
                <w:color w:val="000000" w:themeColor="text1"/>
                <w:highlight w:val="none"/>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70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939"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553"/>
        </w:trPr>
        <w:tc>
          <w:tcPr>
            <w:gridSpan w:val="9"/>
            <w:tcMar>
              <w:left w:w="15" w:type="dxa"/>
              <w:top w:w="15" w:type="dxa"/>
              <w:right w:w="15" w:type="dxa"/>
              <w:bottom w:w="0" w:type="dxa"/>
            </w:tcMar>
            <w:tcW w:w="9975" w:type="dxa"/>
            <w:vAlign w:val="center"/>
            <w:textDirection w:val="lrTb"/>
            <w:noWrap/>
          </w:tcPr>
          <w:p>
            <w:pPr>
              <w:pStyle w:val="883"/>
              <w:jc w:val="left"/>
              <w:spacing w:line="288" w:lineRule="auto"/>
              <w:rPr>
                <w:rFonts w:hint="eastAsia" w:ascii="楷体" w:hAnsi="楷体" w:eastAsia="楷体"/>
                <w:bCs/>
                <w:color w:val="000000" w:themeColor="text1"/>
                <w:sz w:val="28"/>
                <w:szCs w:val="28"/>
                <w:highlight w:val="none"/>
              </w:rPr>
            </w:pPr>
            <w:r>
              <w:rPr>
                <w:rFonts w:hint="eastAsia" w:ascii="楷体" w:hAnsi="楷体" w:eastAsia="楷体"/>
                <w:bCs/>
                <w:color w:val="000000" w:themeColor="text1"/>
                <w:sz w:val="28"/>
                <w:szCs w:val="28"/>
                <w:highlight w:val="none"/>
              </w:rPr>
              <w:t xml:space="preserve">投标人承诺：</w:t>
            </w:r>
            <w:r>
              <w:rPr>
                <w:color w:val="000000" w:themeColor="text1"/>
                <w:highlight w:val="none"/>
              </w:rPr>
            </w:r>
            <w:r/>
          </w:p>
          <w:p>
            <w:pPr>
              <w:pStyle w:val="883"/>
              <w:jc w:val="left"/>
              <w:spacing w:line="288" w:lineRule="auto"/>
              <w:rPr>
                <w:rFonts w:ascii="楷体" w:hAnsi="楷体" w:eastAsia="楷体"/>
                <w:b/>
                <w:bCs/>
                <w:color w:val="000000" w:themeColor="text1"/>
                <w:sz w:val="28"/>
                <w:szCs w:val="28"/>
                <w:highlight w:val="none"/>
              </w:rPr>
            </w:pPr>
            <w:r>
              <w:rPr>
                <w:rFonts w:hint="eastAsia" w:ascii="楷体" w:hAnsi="楷体" w:eastAsia="楷体"/>
                <w:bCs/>
                <w:color w:val="000000" w:themeColor="text1"/>
                <w:sz w:val="28"/>
                <w:szCs w:val="28"/>
                <w:highlight w:val="none"/>
              </w:rPr>
              <w:t xml:space="preserve">本采购项目或采购包中提供的符合本国产品标准的产品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占提供的全部产品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的比例：</w:t>
            </w:r>
            <w:r>
              <w:rPr>
                <w:rFonts w:hint="eastAsia" w:ascii="楷体" w:hAnsi="楷体" w:eastAsia="楷体"/>
                <w:bCs/>
                <w:color w:val="000000" w:themeColor="text1"/>
                <w:sz w:val="28"/>
                <w:szCs w:val="28"/>
                <w:highlight w:val="none"/>
                <w:u w:val="single"/>
              </w:rPr>
              <w:t xml:space="preserve">      </w:t>
            </w:r>
            <w:r>
              <w:rPr>
                <w:rFonts w:hint="eastAsia" w:ascii="楷体" w:hAnsi="楷体" w:eastAsia="楷体"/>
                <w:bCs/>
                <w:color w:val="000000" w:themeColor="text1"/>
                <w:sz w:val="28"/>
                <w:szCs w:val="28"/>
                <w:highlight w:val="none"/>
              </w:rPr>
              <w:t xml:space="preserve">%</w:t>
            </w:r>
            <w:r>
              <w:rPr>
                <w:color w:val="000000" w:themeColor="text1"/>
                <w:highlight w:val="none"/>
              </w:rPr>
            </w:r>
            <w:r/>
          </w:p>
        </w:tc>
      </w:tr>
    </w:tbl>
    <w:p>
      <w:pPr>
        <w:pStyle w:val="883"/>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color w:val="000000" w:themeColor="text1"/>
          <w:highlight w:val="none"/>
        </w:rPr>
      </w:r>
      <w:r/>
    </w:p>
    <w:p>
      <w:pPr>
        <w:pStyle w:val="883"/>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r/>
    </w:p>
    <w:p>
      <w:pPr>
        <w:pStyle w:val="883"/>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投标人为本项目提供的服务全部由符合政策要求的中小企业承接的，须提供按格式填写的《中小企业声明函》（服务）；</w:t>
      </w:r>
      <w:r>
        <w:rPr>
          <w:rFonts w:hint="eastAsia" w:ascii="宋体"/>
          <w:bCs/>
          <w:color w:val="000000" w:themeColor="text1"/>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color w:val="000000" w:themeColor="text1"/>
          <w:highlight w:val="none"/>
        </w:rPr>
      </w:r>
      <w:r/>
    </w:p>
    <w:p>
      <w:pPr>
        <w:pStyle w:val="883"/>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w:t>
      </w:r>
      <w:r>
        <w:rPr>
          <w:rFonts w:hint="eastAsia" w:ascii="宋体" w:hAnsi="宋体"/>
          <w:bCs/>
          <w:color w:val="000000" w:themeColor="text1"/>
          <w:highlight w:val="none"/>
        </w:rPr>
        <w:t xml:space="preserve">“采购需求”中如有明确要求进行分项报价的，投标人应当根据相应要求在上表中详细填写。</w:t>
      </w:r>
      <w:r>
        <w:rPr>
          <w:color w:val="000000" w:themeColor="text1"/>
          <w:highlight w:val="none"/>
        </w:rPr>
      </w: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r>
        <w:rPr>
          <w:color w:val="000000" w:themeColor="text1"/>
          <w:highlight w:val="none"/>
        </w:rPr>
      </w: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（4）</w:t>
      </w:r>
      <w:r>
        <w:rPr>
          <w:rFonts w:hint="eastAsia" w:ascii="宋体" w:hAnsi="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color w:val="000000" w:themeColor="text1"/>
          <w:highlight w:val="none"/>
        </w:rPr>
      </w: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u w:val="single"/>
        </w:rPr>
        <w:t xml:space="preserve">特别注意！！“符合本国产品标准的产品成本之和”是指本项目或采购包中符合本国产品标准的</w:t>
      </w:r>
      <w:r>
        <w:rPr>
          <w:rFonts w:hint="eastAsia" w:ascii="宋体" w:hAnsi="宋体"/>
          <w:b/>
          <w:bCs/>
          <w:color w:val="000000" w:themeColor="text1"/>
          <w:highlight w:val="none"/>
          <w:u w:val="single"/>
        </w:rPr>
        <w:t xml:space="preserve">货物成本之和</w:t>
      </w:r>
      <w:r>
        <w:rPr>
          <w:rFonts w:hint="eastAsia" w:ascii="宋体" w:hAnsi="宋体"/>
          <w:bCs/>
          <w:color w:val="000000" w:themeColor="text1"/>
          <w:highlight w:val="none"/>
          <w:u w:val="single"/>
        </w:rPr>
        <w:t xml:space="preserve">；“全部产品成本之和”是指货物或服务项目（或者采购包）中包含的</w:t>
      </w:r>
      <w:r>
        <w:rPr>
          <w:rFonts w:hint="eastAsia" w:ascii="宋体" w:hAnsi="宋体"/>
          <w:b/>
          <w:bCs/>
          <w:color w:val="000000" w:themeColor="text1"/>
          <w:highlight w:val="none"/>
          <w:u w:val="single"/>
        </w:rPr>
        <w:t xml:space="preserve">全部货物、服务产品的成本之和</w:t>
      </w:r>
      <w:r>
        <w:rPr>
          <w:rFonts w:hint="eastAsia" w:ascii="宋体" w:hAnsi="宋体"/>
          <w:bCs/>
          <w:color w:val="000000" w:themeColor="text1"/>
          <w:highlight w:val="none"/>
          <w:u w:val="single"/>
        </w:rPr>
        <w:t xml:space="preserve">。</w:t>
      </w:r>
      <w:r>
        <w:rPr>
          <w:color w:val="000000" w:themeColor="text1"/>
          <w:highlight w:val="none"/>
        </w:rPr>
      </w:r>
      <w:r/>
    </w:p>
    <w:p>
      <w:pPr>
        <w:pStyle w:val="883"/>
        <w:ind w:firstLine="315"/>
        <w:spacing w:line="400" w:lineRule="exact"/>
        <w:rPr>
          <w:rFonts w:ascii="宋体" w:hAnsi="宋体"/>
          <w:bCs/>
          <w:color w:val="000000" w:themeColor="text1"/>
          <w:highlight w:val="none"/>
        </w:rPr>
        <w:outlineLvl w:val="0"/>
      </w:pPr>
      <w:r>
        <w:rPr>
          <w:rFonts w:ascii="宋体" w:hAnsi="宋体"/>
          <w:bCs/>
          <w:color w:val="000000" w:themeColor="text1"/>
          <w:highlight w:val="none"/>
        </w:rPr>
      </w:r>
      <w:r>
        <w:rPr>
          <w:color w:val="000000" w:themeColor="text1"/>
          <w:highlight w:val="none"/>
        </w:rPr>
      </w:r>
      <w:r/>
    </w:p>
    <w:p>
      <w:pPr>
        <w:pStyle w:val="883"/>
        <w:rPr>
          <w:rFonts w:ascii="宋体" w:hAnsi="宋体" w:cs="宋体"/>
          <w:color w:val="000000" w:themeColor="text1"/>
          <w:highlight w:val="none"/>
        </w:rPr>
      </w:pPr>
      <w:r>
        <w:rPr>
          <w:rFonts w:ascii="宋体" w:hAnsi="宋体" w:cs="宋体"/>
          <w:color w:val="000000" w:themeColor="text1"/>
          <w:highlight w:val="none"/>
          <w:lang w:val="zh-CN"/>
        </w:rPr>
      </w:r>
      <w:r>
        <w:rPr>
          <w:color w:val="000000" w:themeColor="text1"/>
          <w:highlight w:val="none"/>
        </w:rPr>
      </w:r>
      <w:r/>
    </w:p>
    <w:p>
      <w:pPr>
        <w:pStyle w:val="883"/>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color w:val="000000" w:themeColor="text1"/>
          <w:highlight w:val="none"/>
        </w:rPr>
      </w:r>
      <w:r/>
    </w:p>
    <w:p>
      <w:pPr>
        <w:pStyle w:val="883"/>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3"/>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color w:val="000000" w:themeColor="text1"/>
          <w:highlight w:val="none"/>
        </w:rPr>
      </w:r>
      <w:r/>
    </w:p>
    <w:p>
      <w:pPr>
        <w:pStyle w:val="883"/>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3"/>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JSZC-320200-JZCG-G2026-0020</w:t>
      </w:r>
      <w:r>
        <w:rPr>
          <w:color w:val="000000" w:themeColor="text1"/>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bl>
    <w:p>
      <w:pPr>
        <w:pStyle w:val="883"/>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3"/>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r/>
    </w:p>
    <w:p>
      <w:pPr>
        <w:pStyle w:val="883"/>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bookmarkEnd w:id="189"/>
      <w:r>
        <w:rPr>
          <w:color w:val="000000" w:themeColor="text1"/>
          <w:highlight w:val="none"/>
        </w:rPr>
      </w:r>
      <w:bookmarkEnd w:id="190"/>
      <w:r>
        <w:rPr>
          <w:color w:val="000000" w:themeColor="text1"/>
          <w:highlight w:val="none"/>
        </w:rPr>
      </w:r>
      <w:bookmarkEnd w:id="203"/>
      <w:r>
        <w:rPr>
          <w:color w:val="000000" w:themeColor="text1"/>
          <w:highlight w:val="none"/>
        </w:rPr>
      </w:r>
      <w:bookmarkStart w:id="204" w:name="_Hlt26609389"/>
      <w:r>
        <w:rPr>
          <w:color w:val="000000" w:themeColor="text1"/>
          <w:highlight w:val="none"/>
        </w:rPr>
      </w:r>
      <w:bookmarkEnd w:id="204"/>
      <w:r>
        <w:rPr>
          <w:color w:val="000000" w:themeColor="text1"/>
          <w:highlight w:val="none"/>
        </w:rPr>
      </w:r>
      <w:bookmarkStart w:id="205" w:name="_Hlt26671374"/>
      <w:r>
        <w:rPr>
          <w:color w:val="000000" w:themeColor="text1"/>
          <w:highlight w:val="none"/>
        </w:rPr>
      </w:r>
      <w:bookmarkEnd w:id="205"/>
      <w:r>
        <w:rPr>
          <w:color w:val="000000" w:themeColor="text1"/>
          <w:highlight w:val="none"/>
        </w:rPr>
      </w:r>
      <w:bookmarkStart w:id="206" w:name="_Hlt26955066"/>
      <w:r>
        <w:rPr>
          <w:color w:val="000000" w:themeColor="text1"/>
          <w:highlight w:val="none"/>
        </w:rPr>
      </w:r>
      <w:bookmarkEnd w:id="206"/>
      <w:r>
        <w:rPr>
          <w:color w:val="000000" w:themeColor="text1"/>
          <w:highlight w:val="none"/>
        </w:rPr>
      </w:r>
      <w:bookmarkStart w:id="207" w:name="_格式2__法定代表人授权书"/>
      <w:r>
        <w:rPr>
          <w:color w:val="000000" w:themeColor="text1"/>
          <w:highlight w:val="none"/>
        </w:rPr>
      </w:r>
      <w:bookmarkEnd w:id="207"/>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highlight w:val="none"/>
        </w:rPr>
      </w:r>
      <w:r/>
    </w:p>
    <w:p>
      <w:pPr>
        <w:pStyle w:val="883"/>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针对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采购需求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的内容不得有负偏离</w:t>
      </w:r>
      <w:r>
        <w:rPr>
          <w:rFonts w:hint="eastAsia" w:ascii="宋体" w:hAnsi="宋体"/>
          <w:bCs/>
          <w:color w:val="000000" w:themeColor="text1"/>
          <w:sz w:val="24"/>
          <w:szCs w:val="24"/>
          <w:highlight w:val="none"/>
          <w:lang w:eastAsia="zh-CN"/>
        </w:rPr>
        <w:t xml:space="preserve">；</w:t>
      </w:r>
      <w:r>
        <w:rPr>
          <w:color w:val="000000" w:themeColor="text1"/>
          <w:highlight w:val="none"/>
        </w:rPr>
      </w:r>
      <w:r/>
    </w:p>
    <w:p>
      <w:pPr>
        <w:pStyle w:val="883"/>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如无任何技术偏离，请于本表 “偏离说明”中注明“无偏离”；</w:t>
      </w:r>
      <w:r>
        <w:rPr>
          <w:color w:val="000000" w:themeColor="text1"/>
          <w:highlight w:val="none"/>
        </w:rPr>
      </w:r>
      <w:r/>
    </w:p>
    <w:p>
      <w:pPr>
        <w:pStyle w:val="883"/>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）如有技术</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偏离项，请于本表中列明</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偏离内容，如需要可自行延长，其余无偏离内容</w:t>
      </w:r>
      <w:r>
        <w:rPr>
          <w:rFonts w:hint="eastAsia" w:ascii="宋体" w:hAnsi="宋体"/>
          <w:bCs/>
          <w:color w:val="000000" w:themeColor="text1"/>
          <w:sz w:val="24"/>
          <w:szCs w:val="24"/>
          <w:highlight w:val="none"/>
          <w:lang w:val="en-US" w:eastAsia="zh-CN"/>
        </w:rPr>
        <w:t xml:space="preserve">无需</w:t>
      </w:r>
      <w:r>
        <w:rPr>
          <w:rFonts w:hint="eastAsia" w:ascii="宋体" w:hAnsi="宋体"/>
          <w:bCs/>
          <w:color w:val="000000" w:themeColor="text1"/>
          <w:sz w:val="24"/>
          <w:szCs w:val="24"/>
          <w:highlight w:val="none"/>
        </w:rPr>
        <w:t xml:space="preserve">赘述</w:t>
      </w:r>
      <w:r>
        <w:rPr>
          <w:rFonts w:hint="eastAsia" w:ascii="宋体" w:hAnsi="宋体"/>
          <w:bCs/>
          <w:color w:val="000000" w:themeColor="text1"/>
          <w:sz w:val="24"/>
          <w:szCs w:val="24"/>
          <w:highlight w:val="none"/>
          <w:lang w:eastAsia="zh-CN"/>
        </w:rPr>
        <w:t xml:space="preserve">。</w:t>
      </w:r>
      <w:r>
        <w:rPr>
          <w:color w:val="000000" w:themeColor="text1"/>
          <w:highlight w:val="none"/>
        </w:rPr>
      </w:r>
      <w:r/>
    </w:p>
    <w:p>
      <w:pPr>
        <w:pStyle w:val="883"/>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r/>
    </w:p>
    <w:p>
      <w:pPr>
        <w:pStyle w:val="883"/>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color w:val="000000" w:themeColor="text1"/>
          <w:highlight w:val="none"/>
        </w:rPr>
      </w:r>
      <w:r/>
    </w:p>
    <w:p>
      <w:pPr>
        <w:pStyle w:val="883"/>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3"/>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color w:val="000000" w:themeColor="text1"/>
          <w:highlight w:val="none"/>
        </w:rPr>
      </w:r>
      <w:r/>
    </w:p>
    <w:p>
      <w:pPr>
        <w:pStyle w:val="883"/>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3"/>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JSZC-320200-JZCG-G2026-0020</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序号</w:t>
            </w:r>
            <w:r>
              <w:rPr>
                <w:color w:val="000000" w:themeColor="text1"/>
                <w:highlight w:val="none"/>
              </w:rPr>
            </w:r>
            <w:r/>
          </w:p>
        </w:tc>
        <w:tc>
          <w:tcPr>
            <w:tcW w:w="1476"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姓名</w:t>
            </w:r>
            <w:r>
              <w:rPr>
                <w:color w:val="000000" w:themeColor="text1"/>
                <w:highlight w:val="none"/>
              </w:rPr>
            </w:r>
            <w:r/>
          </w:p>
        </w:tc>
        <w:tc>
          <w:tcPr>
            <w:tcW w:w="720"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年龄</w:t>
            </w:r>
            <w:r>
              <w:rPr>
                <w:color w:val="000000" w:themeColor="text1"/>
                <w:highlight w:val="none"/>
              </w:rPr>
            </w:r>
            <w:r/>
          </w:p>
        </w:tc>
        <w:tc>
          <w:tcPr>
            <w:tcW w:w="2520"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本项目职责</w:t>
            </w:r>
            <w:r>
              <w:rPr>
                <w:color w:val="000000" w:themeColor="text1"/>
                <w:highlight w:val="none"/>
              </w:rPr>
            </w:r>
            <w:r/>
          </w:p>
        </w:tc>
        <w:tc>
          <w:tcPr>
            <w:tcW w:w="3274"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人员证书名称</w:t>
            </w:r>
            <w:r>
              <w:rPr>
                <w:color w:val="000000" w:themeColor="text1"/>
                <w:highlight w:val="none"/>
              </w:rPr>
            </w: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bl>
    <w:p>
      <w:pPr>
        <w:pStyle w:val="883"/>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3"/>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r/>
    </w:p>
    <w:p>
      <w:pPr>
        <w:pStyle w:val="883"/>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color w:val="000000" w:themeColor="text1"/>
          <w:highlight w:val="none"/>
        </w:rPr>
      </w:r>
      <w:r/>
    </w:p>
    <w:p>
      <w:pPr>
        <w:pStyle w:val="883"/>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r/>
    </w:p>
    <w:p>
      <w:pPr>
        <w:pStyle w:val="883"/>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５</w:t>
    </w:r>
    <w:r>
      <w:rPr>
        <w:rFonts w:ascii="宋体" w:hAnsi="宋体"/>
      </w:rPr>
      <w:fldChar w:fldCharType="end"/>
    </w:r>
    <w:r>
      <w:rPr>
        <w:rStyle w:val="956"/>
        <w:rFonts w:ascii="宋体" w:hAnsi="宋体"/>
      </w:rPr>
    </w:r>
    <w:r/>
  </w:p>
  <w:p>
    <w:pPr>
      <w:pStyle w:val="93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rPr>
        <w:rStyle w:val="956"/>
      </w:rPr>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80"/>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b/>
        <w:color w:val="000000"/>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6"/>
    <w:qFormat/>
    <w:pPr>
      <w:jc w:val="center"/>
      <w:keepNext/>
      <w:outlineLvl w:val="0"/>
    </w:pPr>
    <w:rPr>
      <w:rFonts w:ascii="楷体_GB2312" w:eastAsia="楷体_GB2312"/>
      <w:sz w:val="28"/>
      <w:szCs w:val="28"/>
    </w:rPr>
  </w:style>
  <w:style w:type="paragraph" w:styleId="885">
    <w:name w:val="标题 2"/>
    <w:basedOn w:val="883"/>
    <w:next w:val="898"/>
    <w:link w:val="897"/>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83"/>
    <w:link w:val="900"/>
    <w:qFormat/>
    <w:pPr>
      <w:keepLines/>
      <w:keepNext/>
      <w:spacing w:before="260" w:after="260" w:line="416" w:lineRule="auto"/>
      <w:outlineLvl w:val="2"/>
    </w:pPr>
    <w:rPr>
      <w:b/>
      <w:bCs/>
      <w:sz w:val="32"/>
      <w:szCs w:val="32"/>
    </w:rPr>
  </w:style>
  <w:style w:type="paragraph" w:styleId="887">
    <w:name w:val="标题 4"/>
    <w:basedOn w:val="883"/>
    <w:next w:val="883"/>
    <w:link w:val="901"/>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83"/>
    <w:link w:val="902"/>
    <w:qFormat/>
    <w:pPr>
      <w:keepNext/>
      <w:outlineLvl w:val="4"/>
    </w:pPr>
    <w:rPr>
      <w:rFonts w:ascii="宋体"/>
      <w:color w:val="000000"/>
      <w:sz w:val="28"/>
      <w:szCs w:val="28"/>
    </w:rPr>
  </w:style>
  <w:style w:type="paragraph" w:styleId="889">
    <w:name w:val="标题 6"/>
    <w:basedOn w:val="883"/>
    <w:next w:val="883"/>
    <w:link w:val="903"/>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4"/>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5"/>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6"/>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paragraph" w:styleId="895">
    <w:name w:val="正文1"/>
    <w:basedOn w:val="883"/>
    <w:next w:val="895"/>
    <w:link w:val="883"/>
    <w:qFormat/>
    <w:pPr>
      <w:ind w:left="350" w:firstLine="0"/>
    </w:pPr>
    <w:rPr>
      <w:rFonts w:cs="Times New Roman"/>
      <w:sz w:val="20"/>
      <w:szCs w:val="24"/>
    </w:rPr>
  </w:style>
  <w:style w:type="character" w:styleId="896">
    <w:name w:val="标题 1 Char"/>
    <w:next w:val="896"/>
    <w:link w:val="884"/>
    <w:rPr>
      <w:rFonts w:ascii="楷体_GB2312" w:hAnsi="Times New Roman" w:eastAsia="楷体_GB2312" w:cs="Times New Roman"/>
      <w:sz w:val="28"/>
      <w:szCs w:val="28"/>
    </w:rPr>
  </w:style>
  <w:style w:type="character" w:styleId="897">
    <w:name w:val="标题 2 Char"/>
    <w:next w:val="897"/>
    <w:link w:val="885"/>
    <w:rPr>
      <w:rFonts w:ascii="Arial" w:hAnsi="Arial" w:eastAsia="幼圆" w:cs="Arial"/>
      <w:b/>
      <w:bCs/>
      <w:sz w:val="44"/>
      <w:szCs w:val="44"/>
    </w:rPr>
  </w:style>
  <w:style w:type="paragraph" w:styleId="898">
    <w:name w:val="正文缩进"/>
    <w:basedOn w:val="883"/>
    <w:next w:val="898"/>
    <w:link w:val="899"/>
    <w:pPr>
      <w:ind w:firstLine="420"/>
    </w:pPr>
    <w:rPr>
      <w:sz w:val="20"/>
    </w:rPr>
  </w:style>
  <w:style w:type="character" w:styleId="899">
    <w:name w:val="正文缩进 Char"/>
    <w:next w:val="899"/>
    <w:link w:val="898"/>
    <w:rPr>
      <w:rFonts w:ascii="Times New Roman" w:hAnsi="Times New Roman" w:eastAsia="宋体" w:cs="Times New Roman"/>
      <w:szCs w:val="21"/>
    </w:rPr>
  </w:style>
  <w:style w:type="character" w:styleId="900">
    <w:name w:val="标题 3 Char"/>
    <w:next w:val="900"/>
    <w:link w:val="886"/>
    <w:rPr>
      <w:rFonts w:ascii="Times New Roman" w:hAnsi="Times New Roman" w:eastAsia="宋体" w:cs="Times New Roman"/>
      <w:b/>
      <w:bCs/>
      <w:sz w:val="32"/>
      <w:szCs w:val="32"/>
    </w:rPr>
  </w:style>
  <w:style w:type="character" w:styleId="901">
    <w:name w:val="标题 4 Char"/>
    <w:next w:val="901"/>
    <w:link w:val="887"/>
    <w:rPr>
      <w:rFonts w:ascii="Arial" w:hAnsi="Arial" w:eastAsia="黑体" w:cs="Arial"/>
      <w:b/>
      <w:bCs/>
      <w:sz w:val="28"/>
      <w:szCs w:val="28"/>
    </w:rPr>
  </w:style>
  <w:style w:type="character" w:styleId="902">
    <w:name w:val="标题 5 Char"/>
    <w:next w:val="902"/>
    <w:link w:val="888"/>
    <w:rPr>
      <w:rFonts w:ascii="宋体" w:hAnsi="Times New Roman" w:eastAsia="宋体" w:cs="Times New Roman"/>
      <w:color w:val="000000"/>
      <w:sz w:val="28"/>
      <w:szCs w:val="28"/>
    </w:rPr>
  </w:style>
  <w:style w:type="character" w:styleId="903">
    <w:name w:val="标题 6 Char"/>
    <w:next w:val="903"/>
    <w:link w:val="889"/>
    <w:rPr>
      <w:rFonts w:ascii="Arial" w:hAnsi="Arial" w:eastAsia="黑体" w:cs="Times New Roman"/>
      <w:b/>
      <w:bCs/>
      <w:sz w:val="24"/>
      <w:szCs w:val="24"/>
    </w:rPr>
  </w:style>
  <w:style w:type="character" w:styleId="904">
    <w:name w:val="标题 7 Char"/>
    <w:next w:val="904"/>
    <w:link w:val="890"/>
    <w:rPr>
      <w:rFonts w:ascii="Times New Roman" w:hAnsi="Times New Roman" w:eastAsia="宋体" w:cs="Times New Roman"/>
      <w:b/>
      <w:bCs/>
      <w:sz w:val="24"/>
      <w:szCs w:val="24"/>
    </w:rPr>
  </w:style>
  <w:style w:type="character" w:styleId="905">
    <w:name w:val="标题 8 Char"/>
    <w:next w:val="905"/>
    <w:link w:val="891"/>
    <w:rPr>
      <w:rFonts w:ascii="Arial" w:hAnsi="Arial" w:eastAsia="黑体" w:cs="Times New Roman"/>
      <w:sz w:val="24"/>
      <w:szCs w:val="24"/>
    </w:rPr>
  </w:style>
  <w:style w:type="character" w:styleId="906">
    <w:name w:val="标题 9 Char"/>
    <w:next w:val="906"/>
    <w:link w:val="892"/>
    <w:rPr>
      <w:rFonts w:ascii="Arial" w:hAnsi="Arial" w:eastAsia="黑体" w:cs="Times New Roman"/>
      <w:szCs w:val="21"/>
    </w:rPr>
  </w:style>
  <w:style w:type="paragraph" w:styleId="907">
    <w:name w:val="列表 3"/>
    <w:basedOn w:val="883"/>
    <w:next w:val="907"/>
    <w:link w:val="883"/>
    <w:pPr>
      <w:ind w:left="100" w:hanging="200"/>
    </w:pPr>
  </w:style>
  <w:style w:type="paragraph" w:styleId="908">
    <w:name w:val="目录 7"/>
    <w:basedOn w:val="883"/>
    <w:next w:val="883"/>
    <w:link w:val="883"/>
    <w:semiHidden/>
    <w:pPr>
      <w:ind w:left="1260"/>
      <w:jc w:val="left"/>
    </w:pPr>
  </w:style>
  <w:style w:type="paragraph" w:styleId="909">
    <w:name w:val="文档结构图"/>
    <w:basedOn w:val="883"/>
    <w:next w:val="909"/>
    <w:link w:val="910"/>
    <w:semiHidden/>
    <w:pPr>
      <w:shd w:val="clear" w:color="auto" w:fill="000080"/>
    </w:pPr>
    <w:rPr>
      <w:sz w:val="20"/>
    </w:rPr>
  </w:style>
  <w:style w:type="character" w:styleId="910">
    <w:name w:val="文档结构图 Char"/>
    <w:next w:val="910"/>
    <w:link w:val="909"/>
    <w:semiHidden/>
    <w:rPr>
      <w:rFonts w:ascii="Times New Roman" w:hAnsi="Times New Roman" w:eastAsia="宋体" w:cs="Times New Roman"/>
      <w:szCs w:val="21"/>
      <w:shd w:val="clear" w:color="auto" w:fill="000080"/>
    </w:rPr>
  </w:style>
  <w:style w:type="paragraph" w:styleId="911">
    <w:name w:val="批注文字"/>
    <w:basedOn w:val="883"/>
    <w:next w:val="911"/>
    <w:link w:val="912"/>
    <w:semiHidden/>
    <w:pPr>
      <w:jc w:val="left"/>
    </w:pPr>
    <w:rPr>
      <w:sz w:val="20"/>
    </w:rPr>
  </w:style>
  <w:style w:type="character" w:styleId="912">
    <w:name w:val="批注文字 Char"/>
    <w:next w:val="912"/>
    <w:link w:val="911"/>
    <w:semiHidden/>
    <w:rPr>
      <w:rFonts w:ascii="Times New Roman" w:hAnsi="Times New Roman" w:eastAsia="宋体" w:cs="Times New Roman"/>
      <w:szCs w:val="21"/>
    </w:rPr>
  </w:style>
  <w:style w:type="paragraph" w:styleId="913">
    <w:name w:val="正文文本 3"/>
    <w:basedOn w:val="883"/>
    <w:next w:val="913"/>
    <w:link w:val="914"/>
    <w:rPr>
      <w:rFonts w:ascii="仿宋_GB2312" w:hAnsi="Arial" w:eastAsia="仿宋_GB2312"/>
      <w:sz w:val="32"/>
      <w:szCs w:val="32"/>
    </w:rPr>
  </w:style>
  <w:style w:type="character" w:styleId="914">
    <w:name w:val="正文文本 3 Char"/>
    <w:next w:val="914"/>
    <w:link w:val="913"/>
    <w:rPr>
      <w:rFonts w:ascii="仿宋_GB2312" w:hAnsi="Arial" w:eastAsia="仿宋_GB2312" w:cs="Times New Roman"/>
      <w:sz w:val="32"/>
      <w:szCs w:val="32"/>
    </w:rPr>
  </w:style>
  <w:style w:type="paragraph" w:styleId="915">
    <w:name w:val="正文文本"/>
    <w:basedOn w:val="883"/>
    <w:next w:val="915"/>
    <w:link w:val="916"/>
    <w:rPr>
      <w:rFonts w:ascii="楷体_GB2312" w:hAnsi="Arial" w:eastAsia="楷体_GB2312"/>
      <w:sz w:val="28"/>
      <w:szCs w:val="28"/>
    </w:rPr>
  </w:style>
  <w:style w:type="character" w:styleId="916">
    <w:name w:val="正文文本 Char"/>
    <w:next w:val="916"/>
    <w:link w:val="915"/>
    <w:rPr>
      <w:rFonts w:ascii="楷体_GB2312" w:hAnsi="Arial" w:eastAsia="楷体_GB2312" w:cs="Times New Roman"/>
      <w:sz w:val="28"/>
      <w:szCs w:val="28"/>
    </w:rPr>
  </w:style>
  <w:style w:type="paragraph" w:styleId="917">
    <w:name w:val="正文文本缩进"/>
    <w:basedOn w:val="883"/>
    <w:next w:val="917"/>
    <w:link w:val="918"/>
    <w:pPr>
      <w:ind w:firstLine="645"/>
    </w:pPr>
    <w:rPr>
      <w:rFonts w:ascii="楷体_GB2312" w:eastAsia="楷体_GB2312"/>
      <w:sz w:val="32"/>
      <w:szCs w:val="32"/>
    </w:rPr>
  </w:style>
  <w:style w:type="character" w:styleId="918">
    <w:name w:val="正文文本缩进 Char"/>
    <w:next w:val="918"/>
    <w:link w:val="917"/>
    <w:rPr>
      <w:rFonts w:ascii="楷体_GB2312" w:hAnsi="Times New Roman" w:eastAsia="楷体_GB2312" w:cs="Times New Roman"/>
      <w:sz w:val="32"/>
      <w:szCs w:val="32"/>
    </w:rPr>
  </w:style>
  <w:style w:type="paragraph" w:styleId="919">
    <w:name w:val="列表 2"/>
    <w:basedOn w:val="883"/>
    <w:next w:val="919"/>
    <w:link w:val="883"/>
    <w:pPr>
      <w:ind w:left="100" w:hanging="200"/>
    </w:pPr>
  </w:style>
  <w:style w:type="paragraph" w:styleId="920">
    <w:name w:val="目录 5"/>
    <w:basedOn w:val="883"/>
    <w:next w:val="883"/>
    <w:link w:val="883"/>
    <w:semiHidden/>
    <w:pPr>
      <w:ind w:left="840"/>
      <w:jc w:val="left"/>
    </w:pPr>
  </w:style>
  <w:style w:type="paragraph" w:styleId="921">
    <w:name w:val="目录 3"/>
    <w:basedOn w:val="883"/>
    <w:next w:val="883"/>
    <w:link w:val="883"/>
    <w:semiHidden/>
    <w:pPr>
      <w:ind w:left="420"/>
      <w:jc w:val="left"/>
    </w:pPr>
    <w:rPr>
      <w:i/>
      <w:iCs/>
      <w:szCs w:val="24"/>
    </w:rPr>
  </w:style>
  <w:style w:type="paragraph" w:styleId="922">
    <w:name w:val="纯文本"/>
    <w:basedOn w:val="883"/>
    <w:next w:val="922"/>
    <w:link w:val="923"/>
    <w:rPr>
      <w:rFonts w:ascii="宋体" w:hAnsi="Courier New"/>
      <w:sz w:val="20"/>
    </w:rPr>
  </w:style>
  <w:style w:type="character" w:styleId="923">
    <w:name w:val="纯文本 Char"/>
    <w:next w:val="923"/>
    <w:link w:val="922"/>
    <w:rPr>
      <w:rFonts w:ascii="宋体" w:hAnsi="Courier New" w:eastAsia="宋体" w:cs="Courier New"/>
      <w:szCs w:val="21"/>
    </w:rPr>
  </w:style>
  <w:style w:type="paragraph" w:styleId="924">
    <w:name w:val="目录 8"/>
    <w:basedOn w:val="883"/>
    <w:next w:val="883"/>
    <w:link w:val="883"/>
    <w:semiHidden/>
    <w:pPr>
      <w:ind w:left="1470"/>
      <w:jc w:val="left"/>
    </w:pPr>
  </w:style>
  <w:style w:type="paragraph" w:styleId="925">
    <w:name w:val="日期"/>
    <w:basedOn w:val="883"/>
    <w:next w:val="883"/>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3"/>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3"/>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3"/>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3"/>
    <w:next w:val="933"/>
    <w:link w:val="934"/>
    <w:uiPriority w:val="99"/>
    <w:qFormat/>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uiPriority w:val="99"/>
    <w:qFormat/>
    <w:rPr>
      <w:rFonts w:ascii="Times New Roman" w:hAnsi="Times New Roman" w:eastAsia="宋体" w:cs="Times New Roman"/>
      <w:sz w:val="18"/>
      <w:szCs w:val="18"/>
    </w:rPr>
  </w:style>
  <w:style w:type="paragraph" w:styleId="935">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6">
    <w:name w:val="目录 4"/>
    <w:basedOn w:val="883"/>
    <w:next w:val="883"/>
    <w:link w:val="883"/>
    <w:semiHidden/>
    <w:pPr>
      <w:ind w:left="630"/>
      <w:jc w:val="left"/>
    </w:pPr>
  </w:style>
  <w:style w:type="paragraph" w:styleId="937">
    <w:name w:val="列表"/>
    <w:basedOn w:val="883"/>
    <w:next w:val="937"/>
    <w:link w:val="883"/>
    <w:pPr>
      <w:ind w:left="200" w:hanging="200"/>
    </w:pPr>
  </w:style>
  <w:style w:type="paragraph" w:styleId="938">
    <w:name w:val="目录 6"/>
    <w:basedOn w:val="883"/>
    <w:next w:val="883"/>
    <w:link w:val="883"/>
    <w:semiHidden/>
    <w:pPr>
      <w:ind w:left="1050"/>
      <w:jc w:val="left"/>
    </w:pPr>
  </w:style>
  <w:style w:type="paragraph" w:styleId="939">
    <w:name w:val="正文文本缩进 3"/>
    <w:basedOn w:val="883"/>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3"/>
    <w:next w:val="883"/>
    <w:link w:val="883"/>
    <w:semiHidden/>
    <w:pPr>
      <w:ind w:left="840" w:hanging="420"/>
    </w:pPr>
  </w:style>
  <w:style w:type="paragraph" w:styleId="942">
    <w:name w:val="目录 2"/>
    <w:basedOn w:val="883"/>
    <w:next w:val="883"/>
    <w:link w:val="883"/>
    <w:semiHidden/>
    <w:pPr>
      <w:ind w:left="210"/>
      <w:jc w:val="left"/>
    </w:pPr>
    <w:rPr>
      <w:smallCaps/>
      <w:szCs w:val="24"/>
    </w:rPr>
  </w:style>
  <w:style w:type="paragraph" w:styleId="943">
    <w:name w:val="目录 9"/>
    <w:basedOn w:val="883"/>
    <w:next w:val="883"/>
    <w:link w:val="883"/>
    <w:semiHidden/>
    <w:pPr>
      <w:ind w:left="1680"/>
      <w:jc w:val="left"/>
    </w:pPr>
  </w:style>
  <w:style w:type="paragraph" w:styleId="944">
    <w:name w:val="正文文本 2"/>
    <w:basedOn w:val="883"/>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普通(网站)"/>
    <w:basedOn w:val="883"/>
    <w:next w:val="946"/>
    <w:link w:val="883"/>
    <w:uiPriority w:val="99"/>
    <w:pPr>
      <w:jc w:val="left"/>
      <w:spacing w:before="100" w:beforeAutospacing="1" w:after="100" w:afterAutospacing="1"/>
      <w:widowControl/>
    </w:pPr>
    <w:rPr>
      <w:rFonts w:ascii="宋体" w:hAnsi="宋体" w:cs="宋体"/>
      <w:sz w:val="24"/>
      <w:szCs w:val="24"/>
    </w:rPr>
  </w:style>
  <w:style w:type="paragraph" w:styleId="947">
    <w:name w:val="索引 1"/>
    <w:basedOn w:val="883"/>
    <w:next w:val="883"/>
    <w:link w:val="883"/>
    <w:semiHidden/>
    <w:pPr>
      <w:spacing w:line="240" w:lineRule="atLeast"/>
    </w:pPr>
    <w:rPr>
      <w:b/>
      <w:bCs/>
    </w:rPr>
  </w:style>
  <w:style w:type="paragraph" w:styleId="948">
    <w:name w:val="批注主题"/>
    <w:basedOn w:val="911"/>
    <w:next w:val="911"/>
    <w:link w:val="949"/>
    <w:semiHidden/>
    <w:rPr>
      <w:b/>
      <w:bCs/>
    </w:rPr>
  </w:style>
  <w:style w:type="character" w:styleId="949">
    <w:name w:val="批注主题 Char"/>
    <w:next w:val="949"/>
    <w:link w:val="948"/>
    <w:semiHidden/>
    <w:rPr>
      <w:rFonts w:ascii="Times New Roman" w:hAnsi="Times New Roman" w:eastAsia="宋体" w:cs="Times New Roman"/>
      <w:b/>
      <w:bCs/>
      <w:szCs w:val="21"/>
    </w:rPr>
  </w:style>
  <w:style w:type="paragraph" w:styleId="950">
    <w:name w:val="正文首行缩进"/>
    <w:basedOn w:val="883"/>
    <w:next w:val="950"/>
    <w:link w:val="951"/>
    <w:pPr>
      <w:ind w:firstLine="200"/>
      <w:spacing w:line="360" w:lineRule="auto"/>
    </w:pPr>
    <w:rPr>
      <w:rFonts w:ascii="仿宋_GB2312" w:eastAsia="仿宋_GB2312"/>
      <w:sz w:val="30"/>
      <w:szCs w:val="30"/>
    </w:rPr>
  </w:style>
  <w:style w:type="character" w:styleId="951">
    <w:name w:val="正文首行缩进 Char"/>
    <w:next w:val="951"/>
    <w:link w:val="950"/>
    <w:rPr>
      <w:rFonts w:ascii="仿宋_GB2312" w:hAnsi="Times New Roman" w:eastAsia="仿宋_GB2312" w:cs="Times New Roman"/>
      <w:sz w:val="30"/>
      <w:szCs w:val="30"/>
    </w:rPr>
  </w:style>
  <w:style w:type="paragraph" w:styleId="952">
    <w:name w:val="正文首行缩进 2"/>
    <w:basedOn w:val="917"/>
    <w:next w:val="952"/>
    <w:link w:val="953"/>
    <w:pPr>
      <w:ind w:firstLine="420"/>
      <w:spacing w:line="360" w:lineRule="auto"/>
    </w:pPr>
    <w:rPr>
      <w:rFonts w:ascii="宋体" w:hAnsi="宋体" w:eastAsia="宋体"/>
      <w:szCs w:val="20"/>
    </w:rPr>
  </w:style>
  <w:style w:type="character" w:styleId="953">
    <w:name w:val="正文首行缩进 2 Char"/>
    <w:next w:val="953"/>
    <w:link w:val="952"/>
    <w:rPr>
      <w:rFonts w:ascii="宋体" w:hAnsi="宋体" w:eastAsia="宋体" w:cs="Times New Roman"/>
      <w:sz w:val="32"/>
      <w:szCs w:val="20"/>
    </w:rPr>
  </w:style>
  <w:style w:type="table" w:styleId="954">
    <w:name w:val="网格型"/>
    <w:basedOn w:val="894"/>
    <w:next w:val="954"/>
    <w:link w:val="883"/>
    <w:pPr>
      <w:jc w:val="both"/>
      <w:widowControl w:val="off"/>
    </w:pPr>
    <w:rPr>
      <w:rFonts w:ascii="Times New Roman" w:hAnsi="Times New Roman" w:eastAsia="宋体" w:cs="Times New Roman"/>
      <w:sz w:val="20"/>
      <w:szCs w:val="20"/>
    </w:rPr>
    <w:tblPr/>
  </w:style>
  <w:style w:type="character" w:styleId="955">
    <w:name w:val="要点"/>
    <w:next w:val="955"/>
    <w:link w:val="883"/>
    <w:qFormat/>
    <w:rPr>
      <w:b/>
      <w:bCs/>
    </w:rPr>
  </w:style>
  <w:style w:type="character" w:styleId="956">
    <w:name w:val="页码"/>
    <w:next w:val="956"/>
    <w:link w:val="883"/>
  </w:style>
  <w:style w:type="character" w:styleId="957">
    <w:name w:val="已访问的超链接"/>
    <w:next w:val="957"/>
    <w:link w:val="883"/>
    <w:rPr>
      <w:color w:val="800080"/>
      <w:u w:val="single"/>
    </w:rPr>
  </w:style>
  <w:style w:type="character" w:styleId="958">
    <w:name w:val="HTML 打字机"/>
    <w:next w:val="958"/>
    <w:link w:val="883"/>
    <w:uiPriority w:val="99"/>
    <w:rPr>
      <w:rFonts w:ascii="宋体" w:hAnsi="宋体" w:eastAsia="宋体" w:cs="宋体"/>
      <w:sz w:val="24"/>
      <w:szCs w:val="24"/>
    </w:rPr>
  </w:style>
  <w:style w:type="character" w:styleId="959">
    <w:name w:val="超链接"/>
    <w:next w:val="959"/>
    <w:link w:val="883"/>
    <w:rPr>
      <w:color w:val="0000ff"/>
      <w:u w:val="single"/>
    </w:rPr>
  </w:style>
  <w:style w:type="character" w:styleId="960">
    <w:name w:val="批注引用"/>
    <w:next w:val="960"/>
    <w:link w:val="883"/>
    <w:semiHidden/>
    <w:rPr>
      <w:sz w:val="21"/>
      <w:szCs w:val="21"/>
    </w:rPr>
  </w:style>
  <w:style w:type="character" w:styleId="961">
    <w:name w:val="font5 Char"/>
    <w:next w:val="961"/>
    <w:link w:val="883"/>
    <w:rPr>
      <w:rFonts w:ascii="宋体" w:hAnsi="宋体" w:eastAsia="宋体"/>
      <w:sz w:val="28"/>
      <w:szCs w:val="28"/>
      <w:lang w:val="en-US" w:eastAsia="zh-CN" w:bidi="ar-SA"/>
    </w:rPr>
  </w:style>
  <w:style w:type="character" w:styleId="962">
    <w:name w:val="二级目录 Char"/>
    <w:next w:val="962"/>
    <w:link w:val="963"/>
    <w:rPr>
      <w:b/>
      <w:sz w:val="30"/>
      <w:szCs w:val="28"/>
      <w:lang w:val="en-US" w:eastAsia="zh-CN" w:bidi="ar-SA"/>
    </w:rPr>
  </w:style>
  <w:style w:type="paragraph" w:styleId="963">
    <w:name w:val="二级目录"/>
    <w:next w:val="883"/>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83"/>
    <w:next w:val="965"/>
    <w:link w:val="964"/>
    <w:qFormat/>
    <w:pPr>
      <w:contextualSpacing/>
      <w:ind w:left="720"/>
      <w:jc w:val="left"/>
      <w:widowControl/>
    </w:pPr>
    <w:rPr>
      <w:rFonts w:ascii="Calibri" w:hAnsi="Calibri"/>
      <w:sz w:val="24"/>
      <w:szCs w:val="24"/>
      <w:lang w:eastAsia="en-US" w:bidi="en-US"/>
    </w:rPr>
  </w:style>
  <w:style w:type="paragraph" w:styleId="966">
    <w:name w:val="Body Text(ch)"/>
    <w:basedOn w:val="883"/>
    <w:next w:val="915"/>
    <w:link w:val="883"/>
    <w:pPr>
      <w:spacing w:after="120"/>
    </w:pPr>
    <w:rPr>
      <w:rFonts w:ascii="宋体" w:hAnsi="Arial"/>
      <w:bCs/>
      <w:iCs/>
      <w:szCs w:val="24"/>
    </w:rPr>
  </w:style>
  <w:style w:type="paragraph" w:styleId="967">
    <w:name w:val="xl27"/>
    <w:basedOn w:val="883"/>
    <w:next w:val="967"/>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83"/>
    <w:next w:val="968"/>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83"/>
    <w:next w:val="969"/>
    <w:link w:val="883"/>
    <w:pPr>
      <w:ind w:firstLine="200"/>
      <w:tabs>
        <w:tab w:val="left" w:pos="360" w:leader="none"/>
      </w:tabs>
    </w:pPr>
    <w:rPr>
      <w:sz w:val="28"/>
      <w:szCs w:val="30"/>
    </w:rPr>
  </w:style>
  <w:style w:type="paragraph" w:styleId="970">
    <w:name w:val=" Char"/>
    <w:basedOn w:val="909"/>
    <w:next w:val="970"/>
    <w:link w:val="883"/>
    <w:rPr>
      <w:rFonts w:ascii="Tahoma" w:hAnsi="Tahoma"/>
      <w:sz w:val="24"/>
      <w:szCs w:val="24"/>
    </w:rPr>
  </w:style>
  <w:style w:type="paragraph" w:styleId="971">
    <w:name w:val="普通正文"/>
    <w:basedOn w:val="883"/>
    <w:next w:val="971"/>
    <w:link w:val="883"/>
    <w:pPr>
      <w:ind w:firstLine="480"/>
      <w:jc w:val="left"/>
      <w:spacing w:before="120" w:after="120" w:line="360" w:lineRule="auto"/>
    </w:pPr>
    <w:rPr>
      <w:rFonts w:ascii="Arial" w:hAnsi="Arial"/>
      <w:sz w:val="24"/>
      <w:szCs w:val="24"/>
    </w:rPr>
  </w:style>
  <w:style w:type="paragraph" w:styleId="972">
    <w:name w:val="table_lines"/>
    <w:basedOn w:val="883"/>
    <w:next w:val="972"/>
    <w:link w:val="883"/>
    <w:pPr>
      <w:jc w:val="left"/>
      <w:widowControl/>
    </w:pPr>
    <w:rPr>
      <w:sz w:val="20"/>
      <w:szCs w:val="20"/>
      <w:lang w:val="de-DE" w:eastAsia="de-DE"/>
    </w:rPr>
  </w:style>
  <w:style w:type="paragraph" w:styleId="973">
    <w:name w:val="附录1"/>
    <w:next w:val="973"/>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83"/>
    <w:next w:val="974"/>
    <w:link w:val="883"/>
    <w:pPr>
      <w:jc w:val="left"/>
      <w:spacing w:before="100" w:beforeAutospacing="1" w:after="100" w:afterAutospacing="1"/>
      <w:widowControl/>
    </w:pPr>
    <w:rPr>
      <w:rFonts w:hint="eastAsia" w:ascii="宋体" w:hAnsi="宋体"/>
      <w:sz w:val="18"/>
      <w:szCs w:val="18"/>
    </w:rPr>
  </w:style>
  <w:style w:type="paragraph" w:styleId="975">
    <w:name w:val=" Char Char Char Char"/>
    <w:basedOn w:val="909"/>
    <w:next w:val="975"/>
    <w:link w:val="883"/>
    <w:pPr>
      <w:spacing w:line="360" w:lineRule="auto"/>
    </w:pPr>
    <w:rPr>
      <w:rFonts w:ascii="Tahoma" w:hAnsi="Tahoma"/>
      <w:sz w:val="24"/>
      <w:szCs w:val="24"/>
    </w:rPr>
  </w:style>
  <w:style w:type="paragraph" w:styleId="976">
    <w:name w:val="列出段落"/>
    <w:basedOn w:val="883"/>
    <w:next w:val="976"/>
    <w:link w:val="883"/>
    <w:uiPriority w:val="99"/>
    <w:qFormat/>
    <w:pPr>
      <w:contextualSpacing/>
      <w:ind w:left="720"/>
      <w:jc w:val="left"/>
      <w:widowControl/>
    </w:pPr>
    <w:rPr>
      <w:rFonts w:ascii="Calibri" w:hAnsi="Calibri"/>
      <w:sz w:val="24"/>
      <w:szCs w:val="24"/>
      <w:lang w:eastAsia="en-US" w:bidi="en-US"/>
    </w:rPr>
  </w:style>
  <w:style w:type="paragraph" w:styleId="977">
    <w:name w:val="4"/>
    <w:basedOn w:val="883"/>
    <w:next w:val="939"/>
    <w:link w:val="883"/>
    <w:pPr>
      <w:ind w:firstLine="420"/>
      <w:spacing w:line="360" w:lineRule="auto"/>
    </w:pPr>
    <w:rPr>
      <w:color w:val="ff0000"/>
      <w:sz w:val="24"/>
      <w:szCs w:val="24"/>
    </w:rPr>
  </w:style>
  <w:style w:type="paragraph" w:styleId="978">
    <w:name w:val="普通 (Web)"/>
    <w:basedOn w:val="883"/>
    <w:next w:val="978"/>
    <w:link w:val="883"/>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83"/>
    <w:next w:val="979"/>
    <w:link w:val="883"/>
    <w:pPr>
      <w:spacing w:line="360" w:lineRule="auto"/>
    </w:pPr>
    <w:rPr>
      <w:sz w:val="24"/>
      <w:szCs w:val="20"/>
    </w:rPr>
  </w:style>
  <w:style w:type="paragraph" w:styleId="980">
    <w:name w:val="样式1"/>
    <w:basedOn w:val="883"/>
    <w:next w:val="980"/>
    <w:link w:val="883"/>
    <w:pPr>
      <w:numPr>
        <w:ilvl w:val="0"/>
        <w:numId w:val="3"/>
      </w:numPr>
      <w:tabs>
        <w:tab w:val="left" w:pos="709" w:leader="none"/>
      </w:tabs>
    </w:pPr>
    <w:rPr>
      <w:rFonts w:ascii="宋体" w:hAnsi="宋体"/>
    </w:rPr>
  </w:style>
  <w:style w:type="paragraph" w:styleId="981">
    <w:name w:val="font6"/>
    <w:basedOn w:val="883"/>
    <w:next w:val="981"/>
    <w:link w:val="883"/>
    <w:pPr>
      <w:jc w:val="left"/>
      <w:spacing w:before="100" w:beforeAutospacing="1" w:after="100" w:afterAutospacing="1"/>
      <w:widowControl/>
    </w:pPr>
    <w:rPr>
      <w:rFonts w:hint="eastAsia" w:ascii="宋体" w:hAnsi="宋体"/>
      <w:sz w:val="28"/>
      <w:szCs w:val="28"/>
      <w:u w:val="single"/>
    </w:rPr>
  </w:style>
  <w:style w:type="paragraph" w:styleId="982">
    <w:name w:val="xl25"/>
    <w:basedOn w:val="883"/>
    <w:next w:val="982"/>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83"/>
    <w:next w:val="883"/>
    <w:link w:val="883"/>
    <w:pPr>
      <w:ind w:firstLine="624"/>
      <w:spacing w:line="590" w:lineRule="atLeast"/>
    </w:pPr>
    <w:rPr>
      <w:rFonts w:ascii="方正黑体_GBK" w:eastAsia="方正黑体_GBK"/>
      <w:sz w:val="32"/>
      <w:szCs w:val="32"/>
    </w:rPr>
  </w:style>
  <w:style w:type="paragraph" w:styleId="985">
    <w:name w:val="xl24"/>
    <w:basedOn w:val="883"/>
    <w:next w:val="985"/>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83"/>
    <w:next w:val="986"/>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83"/>
    <w:next w:val="987"/>
    <w:link w:val="883"/>
    <w:pPr>
      <w:jc w:val="left"/>
      <w:spacing w:after="160" w:line="240" w:lineRule="exact"/>
      <w:widowControl/>
    </w:pPr>
    <w:rPr>
      <w:rFonts w:ascii="Verdana" w:hAnsi="Verdana"/>
      <w:sz w:val="20"/>
      <w:szCs w:val="20"/>
      <w:lang w:eastAsia="en-US"/>
    </w:rPr>
  </w:style>
  <w:style w:type="paragraph" w:styleId="988">
    <w:name w:val="xl28"/>
    <w:basedOn w:val="883"/>
    <w:next w:val="988"/>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83"/>
    <w:next w:val="989"/>
    <w:link w:val="883"/>
    <w:pPr>
      <w:jc w:val="left"/>
      <w:spacing w:after="160" w:line="240" w:lineRule="exact"/>
      <w:widowControl/>
    </w:pPr>
    <w:rPr>
      <w:rFonts w:ascii="Verdana" w:hAnsi="Verdana"/>
      <w:sz w:val="20"/>
      <w:szCs w:val="20"/>
      <w:lang w:eastAsia="en-US"/>
    </w:rPr>
  </w:style>
  <w:style w:type="paragraph" w:styleId="990">
    <w:name w:val="xl30"/>
    <w:basedOn w:val="883"/>
    <w:next w:val="990"/>
    <w:link w:val="883"/>
    <w:pPr>
      <w:jc w:val="center"/>
      <w:spacing w:before="100" w:beforeAutospacing="1" w:after="100" w:afterAutospacing="1"/>
      <w:widowControl/>
    </w:pPr>
    <w:rPr>
      <w:rFonts w:ascii="宋体" w:hAnsi="宋体"/>
      <w:b/>
      <w:bCs/>
      <w:sz w:val="36"/>
      <w:szCs w:val="36"/>
    </w:rPr>
  </w:style>
  <w:style w:type="paragraph" w:styleId="991">
    <w:name w:val="Char Char Char Char"/>
    <w:basedOn w:val="909"/>
    <w:next w:val="991"/>
    <w:link w:val="883"/>
    <w:pPr>
      <w:spacing w:line="360" w:lineRule="auto"/>
    </w:pPr>
    <w:rPr>
      <w:rFonts w:ascii="Tahoma" w:hAnsi="Tahoma"/>
      <w:sz w:val="24"/>
      <w:szCs w:val="24"/>
    </w:rPr>
  </w:style>
  <w:style w:type="paragraph" w:styleId="992">
    <w:name w:val="table_1stline"/>
    <w:basedOn w:val="883"/>
    <w:next w:val="992"/>
    <w:link w:val="883"/>
    <w:pPr>
      <w:jc w:val="left"/>
      <w:spacing w:before="120"/>
      <w:widowControl/>
    </w:pPr>
    <w:rPr>
      <w:bCs/>
      <w:sz w:val="20"/>
      <w:szCs w:val="20"/>
      <w:lang w:val="de-DE" w:eastAsia="de-DE"/>
    </w:rPr>
  </w:style>
  <w:style w:type="paragraph" w:styleId="993">
    <w:name w:val="font5"/>
    <w:basedOn w:val="883"/>
    <w:next w:val="993"/>
    <w:link w:val="883"/>
    <w:pPr>
      <w:jc w:val="left"/>
      <w:spacing w:before="100" w:beforeAutospacing="1" w:after="100" w:afterAutospacing="1"/>
      <w:widowControl/>
    </w:pPr>
    <w:rPr>
      <w:rFonts w:hint="eastAsia" w:ascii="宋体" w:hAnsi="宋体"/>
      <w:sz w:val="28"/>
      <w:szCs w:val="28"/>
    </w:rPr>
  </w:style>
  <w:style w:type="paragraph" w:styleId="994">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83"/>
    <w:uiPriority w:val="99"/>
    <w:semiHidden/>
    <w:rPr>
      <w:rFonts w:ascii="Times New Roman" w:hAnsi="Times New Roman"/>
      <w:sz w:val="21"/>
      <w:szCs w:val="21"/>
      <w:lang w:val="en-US" w:eastAsia="zh-CN" w:bidi="ar-SA"/>
    </w:rPr>
  </w:style>
  <w:style w:type="paragraph" w:styleId="996">
    <w:name w:val="无间隔"/>
    <w:next w:val="996"/>
    <w:link w:val="883"/>
    <w:uiPriority w:val="99"/>
    <w:qFormat/>
    <w:pPr>
      <w:jc w:val="both"/>
      <w:widowControl w:val="off"/>
    </w:pPr>
    <w:rPr>
      <w:rFonts w:ascii="Times New Roman" w:hAnsi="Times New Roman"/>
      <w:sz w:val="21"/>
      <w:szCs w:val="21"/>
      <w:lang w:val="en-US" w:eastAsia="zh-CN" w:bidi="ar-SA"/>
    </w:rPr>
  </w:style>
  <w:style w:type="paragraph" w:styleId="997">
    <w:name w:val="普通文字"/>
    <w:basedOn w:val="883"/>
    <w:next w:val="883"/>
    <w:link w:val="883"/>
    <w:uiPriority w:val="99"/>
    <w:rPr>
      <w:rFonts w:ascii="宋体" w:hAnsi="Times New Roman" w:eastAsia="宋体" w:cs="Times New Roman"/>
      <w:sz w:val="24"/>
      <w:szCs w:val="20"/>
      <w:u w:val="none"/>
    </w:rPr>
  </w:style>
  <w:style w:type="paragraph" w:styleId="998">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999">
    <w:name w:val="正文文本11"/>
    <w:basedOn w:val="883"/>
    <w:next w:val="999"/>
    <w:link w:val="883"/>
    <w:qFormat/>
    <w:rPr>
      <w:sz w:val="18"/>
      <w:szCs w:val="20"/>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62</cp:revision>
  <dcterms:created xsi:type="dcterms:W3CDTF">2023-03-16T02:16:00Z</dcterms:created>
  <dcterms:modified xsi:type="dcterms:W3CDTF">2026-05-12T01:22:20Z</dcterms:modified>
</cp:coreProperties>
</file>